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EF4933"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AD5E936" w:rsidR="008D7E3A" w:rsidRDefault="008D7E3A" w:rsidP="008D7E3A">
      <w:pPr>
        <w:ind w:left="144" w:right="144"/>
        <w:jc w:val="center"/>
        <w:rPr>
          <w:sz w:val="20"/>
          <w:szCs w:val="20"/>
        </w:rPr>
      </w:pPr>
      <w:r>
        <w:rPr>
          <w:b/>
          <w:bCs/>
          <w:sz w:val="20"/>
          <w:szCs w:val="20"/>
        </w:rPr>
        <w:t>Date of report (Date of earliest event reported):  </w:t>
      </w:r>
      <w:r w:rsidR="00820274">
        <w:rPr>
          <w:b/>
          <w:bCs/>
          <w:sz w:val="20"/>
          <w:szCs w:val="20"/>
        </w:rPr>
        <w:t>July 18, 2023</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EF4933"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16158BF1" w14:textId="6746B772" w:rsidR="00820274" w:rsidRDefault="008D7E3A" w:rsidP="00820274">
      <w:pPr>
        <w:pStyle w:val="NormalWeb"/>
        <w:shd w:val="clear" w:color="auto" w:fill="FFFFFF"/>
        <w:spacing w:before="0" w:beforeAutospacing="0" w:after="0" w:afterAutospacing="0"/>
        <w:jc w:val="both"/>
        <w:rPr>
          <w:b/>
          <w:bCs/>
          <w:color w:val="000000"/>
          <w:sz w:val="20"/>
          <w:szCs w:val="20"/>
        </w:rPr>
      </w:pPr>
      <w:r>
        <w:rPr>
          <w:sz w:val="20"/>
          <w:szCs w:val="20"/>
        </w:rPr>
        <w:br w:type="page"/>
      </w:r>
      <w:r w:rsidR="00820274" w:rsidRPr="00C36B57" w:rsidDel="00820274">
        <w:rPr>
          <w:b/>
          <w:sz w:val="20"/>
          <w:szCs w:val="20"/>
        </w:rPr>
        <w:lastRenderedPageBreak/>
        <w:t xml:space="preserve"> </w:t>
      </w:r>
    </w:p>
    <w:p w14:paraId="0881A04A"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Item 1.01 Entry into a Material Definitive Agreement.</w:t>
      </w:r>
    </w:p>
    <w:p w14:paraId="6FEEF585" w14:textId="678115BE" w:rsidR="00820274" w:rsidRDefault="00820274" w:rsidP="00820274">
      <w:pPr>
        <w:pStyle w:val="NormalWeb"/>
        <w:shd w:val="clear" w:color="auto" w:fill="FFFFFF"/>
        <w:tabs>
          <w:tab w:val="left" w:pos="1878"/>
        </w:tabs>
        <w:spacing w:before="0" w:beforeAutospacing="0" w:after="0" w:afterAutospacing="0"/>
        <w:jc w:val="both"/>
        <w:rPr>
          <w:color w:val="000000"/>
          <w:sz w:val="20"/>
          <w:szCs w:val="20"/>
        </w:rPr>
      </w:pPr>
      <w:r>
        <w:rPr>
          <w:color w:val="000000"/>
          <w:sz w:val="20"/>
          <w:szCs w:val="20"/>
        </w:rPr>
        <w:t> </w:t>
      </w:r>
      <w:r>
        <w:rPr>
          <w:color w:val="000000"/>
          <w:sz w:val="20"/>
          <w:szCs w:val="20"/>
        </w:rPr>
        <w:tab/>
      </w:r>
    </w:p>
    <w:p w14:paraId="3D4DE9D3" w14:textId="5E773B74"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On July 18, 2023, Geo</w:t>
      </w:r>
      <w:r w:rsidR="00C438BC">
        <w:rPr>
          <w:color w:val="000000"/>
          <w:sz w:val="20"/>
          <w:szCs w:val="20"/>
        </w:rPr>
        <w:t>V</w:t>
      </w:r>
      <w:r>
        <w:rPr>
          <w:color w:val="000000"/>
          <w:sz w:val="20"/>
          <w:szCs w:val="20"/>
        </w:rPr>
        <w:t xml:space="preserve">ax Labs, Inc. (the “Company”) </w:t>
      </w:r>
      <w:proofErr w:type="gramStart"/>
      <w:r>
        <w:rPr>
          <w:color w:val="000000"/>
          <w:sz w:val="20"/>
          <w:szCs w:val="20"/>
        </w:rPr>
        <w:t>entered into</w:t>
      </w:r>
      <w:proofErr w:type="gramEnd"/>
      <w:r>
        <w:rPr>
          <w:color w:val="000000"/>
          <w:sz w:val="20"/>
          <w:szCs w:val="20"/>
        </w:rPr>
        <w:t xml:space="preserve"> an At The Market Offering Agreement</w:t>
      </w:r>
      <w:r w:rsidR="00C438BC">
        <w:rPr>
          <w:color w:val="000000"/>
          <w:sz w:val="20"/>
          <w:szCs w:val="20"/>
        </w:rPr>
        <w:t xml:space="preserve"> (</w:t>
      </w:r>
      <w:r>
        <w:rPr>
          <w:color w:val="000000"/>
          <w:sz w:val="20"/>
          <w:szCs w:val="20"/>
        </w:rPr>
        <w:t xml:space="preserve">the </w:t>
      </w:r>
      <w:r w:rsidR="00C438BC">
        <w:rPr>
          <w:color w:val="000000"/>
          <w:sz w:val="20"/>
          <w:szCs w:val="20"/>
        </w:rPr>
        <w:t>“</w:t>
      </w:r>
      <w:r>
        <w:rPr>
          <w:color w:val="000000"/>
          <w:sz w:val="20"/>
          <w:szCs w:val="20"/>
        </w:rPr>
        <w:t>ATM Agreement</w:t>
      </w:r>
      <w:r w:rsidR="00C438BC">
        <w:rPr>
          <w:color w:val="000000"/>
          <w:sz w:val="20"/>
          <w:szCs w:val="20"/>
        </w:rPr>
        <w:t>”)</w:t>
      </w:r>
      <w:r>
        <w:rPr>
          <w:color w:val="000000"/>
          <w:sz w:val="20"/>
          <w:szCs w:val="20"/>
        </w:rPr>
        <w:t xml:space="preserve"> with H.C. Wainwright &amp; Co., LLC</w:t>
      </w:r>
      <w:r w:rsidR="007D058F">
        <w:rPr>
          <w:color w:val="000000"/>
          <w:sz w:val="20"/>
          <w:szCs w:val="20"/>
        </w:rPr>
        <w:t xml:space="preserve"> (“Wainwright”)</w:t>
      </w:r>
      <w:r>
        <w:rPr>
          <w:color w:val="000000"/>
          <w:sz w:val="20"/>
          <w:szCs w:val="20"/>
        </w:rPr>
        <w:t>, as sales agent, pursuant to which we may offer and sell, from time to time, through Wainwright shares of our common stock, $0.001 par value per share.</w:t>
      </w:r>
    </w:p>
    <w:p w14:paraId="71101CE4"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12313D7C" w14:textId="21F0DD32"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Subject to the terms and conditions of the ATM Agreement, Wainwright will use commercially reasonable efforts consistent with its normal trading and sales practices to sell shares from time to time based upon our instructions, including any price, time or size limits specified by us. Under the ATM Agreement, Wainwright may sell shares by any method deemed to be an “at the market” offering as defined in Rule 415 under the U.S. Securities Act of 1933, as amended, including in privately negotiated transactions. Wainwright’s obligations to sell shares under the ATM Agreement are subject to satisfaction of certain conditions. The Company will pay Wainwright a commission of 3% of the aggregate gross proceeds from each sale of shares and has agreed to provide Wainwright with customary indemnification and contribution rights. We also agreed to reimburse Wainwright for certain specified expenses of up to $50,000.</w:t>
      </w:r>
    </w:p>
    <w:p w14:paraId="06106BD5" w14:textId="77777777" w:rsidR="00820274" w:rsidRDefault="00820274" w:rsidP="00820274">
      <w:pPr>
        <w:pStyle w:val="NormalWeb"/>
        <w:shd w:val="clear" w:color="auto" w:fill="FFFFFF"/>
        <w:spacing w:before="0" w:beforeAutospacing="0" w:after="0" w:afterAutospacing="0"/>
        <w:ind w:firstLine="720"/>
        <w:jc w:val="both"/>
        <w:rPr>
          <w:color w:val="000000"/>
          <w:sz w:val="20"/>
          <w:szCs w:val="20"/>
        </w:rPr>
      </w:pPr>
      <w:r>
        <w:rPr>
          <w:color w:val="000000"/>
          <w:sz w:val="20"/>
          <w:szCs w:val="20"/>
        </w:rPr>
        <w:t> </w:t>
      </w:r>
    </w:p>
    <w:p w14:paraId="3F057D2E"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xml:space="preserve">We are not obligated to make any sales of our common stock under the ATM Agreement and no assurance can be given that we will sell any shares under the ATM Agreement, or, if we do, as to the price or </w:t>
      </w:r>
      <w:proofErr w:type="gramStart"/>
      <w:r>
        <w:rPr>
          <w:color w:val="000000"/>
          <w:sz w:val="20"/>
          <w:szCs w:val="20"/>
        </w:rPr>
        <w:t>amount</w:t>
      </w:r>
      <w:proofErr w:type="gramEnd"/>
      <w:r>
        <w:rPr>
          <w:color w:val="000000"/>
          <w:sz w:val="20"/>
          <w:szCs w:val="20"/>
        </w:rPr>
        <w:t xml:space="preserve"> of shares that we will sell, or the dates on which any such sales will take place. The ATM Agreement will terminate upon the earlier of (i) the sale of all shares under the ATM Agreement, or (ii) as provided therein.</w:t>
      </w:r>
    </w:p>
    <w:p w14:paraId="50A02D65"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BFA53CF" w14:textId="67E85EF4"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Sales of shares of common stock under the ATM Agreement will be made pursuant to the registration statement on Form S-3 (File No. 333-252437), which was declared effective by the U.S. Securities and Exchange Commission, or SEC, on February 3, 2021, and a related prospectus supplement filed with the SEC on July 18, 2023, for an aggregate offering price of up to $</w:t>
      </w:r>
      <w:r w:rsidR="00097DB1">
        <w:rPr>
          <w:color w:val="000000"/>
          <w:sz w:val="20"/>
          <w:szCs w:val="20"/>
        </w:rPr>
        <w:t>6,529,000</w:t>
      </w:r>
      <w:r>
        <w:rPr>
          <w:color w:val="000000"/>
          <w:sz w:val="20"/>
          <w:szCs w:val="20"/>
        </w:rPr>
        <w:t>.</w:t>
      </w:r>
    </w:p>
    <w:p w14:paraId="3D6DF70E" w14:textId="77777777" w:rsidR="00820274" w:rsidRDefault="00820274" w:rsidP="00820274">
      <w:pPr>
        <w:pStyle w:val="NormalWeb"/>
        <w:shd w:val="clear" w:color="auto" w:fill="FFFFFF"/>
        <w:spacing w:before="0" w:beforeAutospacing="0" w:after="0" w:afterAutospacing="0"/>
        <w:ind w:firstLine="720"/>
        <w:jc w:val="both"/>
        <w:rPr>
          <w:color w:val="000000"/>
          <w:sz w:val="20"/>
          <w:szCs w:val="20"/>
        </w:rPr>
      </w:pPr>
      <w:r>
        <w:rPr>
          <w:color w:val="000000"/>
          <w:sz w:val="20"/>
          <w:szCs w:val="20"/>
        </w:rPr>
        <w:t> </w:t>
      </w:r>
    </w:p>
    <w:p w14:paraId="3EAB992C"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The foregoing summary of the ATM Agreement does not purport to be complete and is qualified in its entirety by reference to the full text of the ATM Agreement, which is filed herewith as Exhibit 10.1.</w:t>
      </w:r>
    </w:p>
    <w:p w14:paraId="581FF297" w14:textId="77777777" w:rsidR="00820274" w:rsidRDefault="00820274" w:rsidP="00820274">
      <w:pPr>
        <w:pStyle w:val="NormalWeb"/>
        <w:shd w:val="clear" w:color="auto" w:fill="FFFFFF"/>
        <w:spacing w:before="0" w:beforeAutospacing="0" w:after="0" w:afterAutospacing="0"/>
        <w:ind w:firstLine="720"/>
        <w:jc w:val="both"/>
        <w:rPr>
          <w:color w:val="000000"/>
          <w:sz w:val="20"/>
          <w:szCs w:val="20"/>
        </w:rPr>
      </w:pPr>
      <w:r>
        <w:rPr>
          <w:color w:val="000000"/>
          <w:sz w:val="20"/>
          <w:szCs w:val="20"/>
        </w:rPr>
        <w:t> </w:t>
      </w:r>
    </w:p>
    <w:p w14:paraId="5CAA813E" w14:textId="5A9A86A0"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A copy of the opinion of Womble Bond Dickinson (US) LLP relating to the legality of the issuance and sale of shares, is attached hereto as Exhibit 5.1 to this current report on Form 8-K.</w:t>
      </w:r>
    </w:p>
    <w:p w14:paraId="142D0111"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1D8E9EFA"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This Current Report on Form 8-K shall not constitute an offer to sell or the solicitation of an offer to buy any shares under the ATM Agreement, nor shall there be any sale of such shares in any state in which such offer, solicitation or sale would be unlawful prior to registration or qualification under the securities laws of any such state.</w:t>
      </w:r>
    </w:p>
    <w:p w14:paraId="0375A056" w14:textId="77777777" w:rsidR="00820274" w:rsidRDefault="00820274" w:rsidP="00820274">
      <w:pPr>
        <w:pStyle w:val="NormalWeb"/>
        <w:shd w:val="clear" w:color="auto" w:fill="FFFFFF"/>
        <w:spacing w:before="0" w:beforeAutospacing="0" w:after="0" w:afterAutospacing="0"/>
        <w:ind w:firstLine="720"/>
        <w:jc w:val="both"/>
        <w:rPr>
          <w:color w:val="000000"/>
          <w:sz w:val="20"/>
          <w:szCs w:val="20"/>
        </w:rPr>
      </w:pPr>
      <w:r>
        <w:rPr>
          <w:color w:val="000000"/>
          <w:sz w:val="20"/>
          <w:szCs w:val="20"/>
        </w:rPr>
        <w:t> </w:t>
      </w:r>
    </w:p>
    <w:p w14:paraId="5294A99B"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xml:space="preserve">This report contains forward-looking statements. Forward-looking statements include, but are not limited to, statements that express our intentions, beliefs, expectations, strategies, </w:t>
      </w:r>
      <w:proofErr w:type="gramStart"/>
      <w:r>
        <w:rPr>
          <w:color w:val="000000"/>
          <w:sz w:val="20"/>
          <w:szCs w:val="20"/>
        </w:rPr>
        <w:t>predictions</w:t>
      </w:r>
      <w:proofErr w:type="gramEnd"/>
      <w:r>
        <w:rPr>
          <w:color w:val="000000"/>
          <w:sz w:val="20"/>
          <w:szCs w:val="20"/>
        </w:rPr>
        <w:t xml:space="preserve"> or any other statements related to our future activities, or future events or conditions. These statements are based on current expectations, estimates and projections about our business based, in part, on assumptions made by management. These statements are not guarantees of future </w:t>
      </w:r>
      <w:proofErr w:type="gramStart"/>
      <w:r>
        <w:rPr>
          <w:color w:val="000000"/>
          <w:sz w:val="20"/>
          <w:szCs w:val="20"/>
        </w:rPr>
        <w:t>performances</w:t>
      </w:r>
      <w:proofErr w:type="gramEnd"/>
      <w:r>
        <w:rPr>
          <w:color w:val="000000"/>
          <w:sz w:val="20"/>
          <w:szCs w:val="20"/>
        </w:rPr>
        <w:t xml:space="preserve"> and involve risks, uncertainties and assumptions that are difficult to predict. Therefore, actual outcomes and results may differ materially from what is expressed or forecasted in the forward-looking statements due to numerous factors, including those risks discussed in our Annual Report on Form 10-K and in other documents that we file from time to time with the SEC. Any forward-looking statements speak only as of the date on which they are made, and we do not undertake any obligation to update any forward-looking statement to reflect events or circumstances after the date of this report, except as required by law.</w:t>
      </w:r>
    </w:p>
    <w:p w14:paraId="2C3B792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00A3787B"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Item 9.01 Financial Statements and Exhibits.</w:t>
      </w:r>
    </w:p>
    <w:p w14:paraId="1A51B9B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4C4E4958"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(d) </w:t>
      </w:r>
      <w:r>
        <w:rPr>
          <w:color w:val="000000"/>
          <w:sz w:val="20"/>
          <w:szCs w:val="20"/>
          <w:u w:val="single"/>
        </w:rPr>
        <w:t>Exhibits</w:t>
      </w:r>
      <w:r>
        <w:rPr>
          <w:color w:val="000000"/>
          <w:sz w:val="20"/>
          <w:szCs w:val="20"/>
        </w:rPr>
        <w:t>.</w:t>
      </w:r>
    </w:p>
    <w:p w14:paraId="72608C38"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1440"/>
        <w:gridCol w:w="216"/>
        <w:gridCol w:w="8424"/>
      </w:tblGrid>
      <w:tr w:rsidR="00820274" w14:paraId="3D870438" w14:textId="77777777" w:rsidTr="00296FD2">
        <w:tc>
          <w:tcPr>
            <w:tcW w:w="1440" w:type="dxa"/>
            <w:tcBorders>
              <w:bottom w:val="single" w:sz="12" w:space="0" w:color="000000"/>
            </w:tcBorders>
            <w:shd w:val="clear" w:color="auto" w:fill="FFFFFF"/>
            <w:hideMark/>
          </w:tcPr>
          <w:p w14:paraId="7CF0415E" w14:textId="77777777" w:rsidR="00820274" w:rsidRDefault="00820274">
            <w:pPr>
              <w:pStyle w:val="NormalWeb"/>
              <w:spacing w:before="0" w:beforeAutospacing="0" w:after="0" w:afterAutospacing="0"/>
              <w:rPr>
                <w:color w:val="000000"/>
                <w:sz w:val="20"/>
                <w:szCs w:val="20"/>
              </w:rPr>
            </w:pPr>
            <w:r>
              <w:rPr>
                <w:color w:val="000000"/>
                <w:sz w:val="20"/>
                <w:szCs w:val="20"/>
              </w:rPr>
              <w:t>Exhibit Number</w:t>
            </w:r>
          </w:p>
        </w:tc>
        <w:tc>
          <w:tcPr>
            <w:tcW w:w="216" w:type="dxa"/>
            <w:shd w:val="clear" w:color="auto" w:fill="FFFFFF"/>
            <w:tcMar>
              <w:top w:w="0" w:type="dxa"/>
              <w:left w:w="0" w:type="dxa"/>
              <w:bottom w:w="30" w:type="dxa"/>
              <w:right w:w="0" w:type="dxa"/>
            </w:tcMar>
            <w:hideMark/>
          </w:tcPr>
          <w:p w14:paraId="2808AB43" w14:textId="77777777" w:rsidR="00820274" w:rsidRDefault="00820274">
            <w:pPr>
              <w:rPr>
                <w:color w:val="000000"/>
                <w:sz w:val="20"/>
                <w:szCs w:val="20"/>
              </w:rPr>
            </w:pPr>
            <w:r>
              <w:rPr>
                <w:color w:val="000000"/>
                <w:sz w:val="20"/>
                <w:szCs w:val="20"/>
              </w:rPr>
              <w:t> </w:t>
            </w:r>
          </w:p>
        </w:tc>
        <w:tc>
          <w:tcPr>
            <w:tcW w:w="0" w:type="auto"/>
            <w:tcBorders>
              <w:bottom w:val="single" w:sz="12" w:space="0" w:color="000000"/>
            </w:tcBorders>
            <w:shd w:val="clear" w:color="auto" w:fill="FFFFFF"/>
            <w:hideMark/>
          </w:tcPr>
          <w:p w14:paraId="6F9EE368" w14:textId="77777777" w:rsidR="00820274" w:rsidRDefault="00820274">
            <w:pPr>
              <w:rPr>
                <w:color w:val="000000"/>
                <w:sz w:val="20"/>
                <w:szCs w:val="20"/>
              </w:rPr>
            </w:pPr>
            <w:r>
              <w:rPr>
                <w:color w:val="000000"/>
                <w:sz w:val="20"/>
                <w:szCs w:val="20"/>
              </w:rPr>
              <w:t>Description</w:t>
            </w:r>
          </w:p>
        </w:tc>
      </w:tr>
      <w:tr w:rsidR="00820274" w14:paraId="6E6B3E67" w14:textId="77777777" w:rsidTr="00296FD2">
        <w:tc>
          <w:tcPr>
            <w:tcW w:w="0" w:type="auto"/>
            <w:shd w:val="clear" w:color="auto" w:fill="FFFFFF"/>
            <w:hideMark/>
          </w:tcPr>
          <w:p w14:paraId="7FB9A07F" w14:textId="77777777" w:rsidR="00820274" w:rsidRDefault="00820274">
            <w:pPr>
              <w:rPr>
                <w:color w:val="000000"/>
                <w:sz w:val="20"/>
                <w:szCs w:val="20"/>
              </w:rPr>
            </w:pPr>
            <w:r>
              <w:rPr>
                <w:color w:val="000000"/>
                <w:sz w:val="20"/>
                <w:szCs w:val="20"/>
              </w:rPr>
              <w:t>5.1</w:t>
            </w:r>
          </w:p>
        </w:tc>
        <w:tc>
          <w:tcPr>
            <w:tcW w:w="0" w:type="auto"/>
            <w:shd w:val="clear" w:color="auto" w:fill="FFFFFF"/>
            <w:hideMark/>
          </w:tcPr>
          <w:p w14:paraId="0F4F2545"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6A5588BA" w14:textId="6B06FC48" w:rsidR="00820274" w:rsidRDefault="00820274">
            <w:pPr>
              <w:rPr>
                <w:color w:val="000000"/>
                <w:sz w:val="20"/>
                <w:szCs w:val="20"/>
              </w:rPr>
            </w:pPr>
            <w:r w:rsidRPr="00296FD2">
              <w:rPr>
                <w:color w:val="000000"/>
                <w:sz w:val="20"/>
                <w:szCs w:val="20"/>
              </w:rPr>
              <w:t>Opinion of Womble Bond Dickinson (US) LLP.</w:t>
            </w:r>
          </w:p>
        </w:tc>
      </w:tr>
      <w:tr w:rsidR="00820274" w14:paraId="0D47D21E" w14:textId="77777777" w:rsidTr="00296FD2">
        <w:tc>
          <w:tcPr>
            <w:tcW w:w="0" w:type="auto"/>
            <w:shd w:val="clear" w:color="auto" w:fill="FFFFFF"/>
            <w:hideMark/>
          </w:tcPr>
          <w:p w14:paraId="2345F8C5" w14:textId="77777777" w:rsidR="00820274" w:rsidRDefault="00820274">
            <w:pPr>
              <w:rPr>
                <w:color w:val="000000"/>
                <w:sz w:val="20"/>
                <w:szCs w:val="20"/>
              </w:rPr>
            </w:pPr>
            <w:r>
              <w:rPr>
                <w:color w:val="000000"/>
                <w:sz w:val="20"/>
                <w:szCs w:val="20"/>
              </w:rPr>
              <w:t>10.1</w:t>
            </w:r>
          </w:p>
        </w:tc>
        <w:tc>
          <w:tcPr>
            <w:tcW w:w="0" w:type="auto"/>
            <w:shd w:val="clear" w:color="auto" w:fill="FFFFFF"/>
            <w:hideMark/>
          </w:tcPr>
          <w:p w14:paraId="4E656114"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224A08FF" w14:textId="7FECD32D" w:rsidR="00820274" w:rsidRDefault="00820274">
            <w:pPr>
              <w:jc w:val="both"/>
              <w:rPr>
                <w:color w:val="000000"/>
                <w:sz w:val="20"/>
                <w:szCs w:val="20"/>
              </w:rPr>
            </w:pPr>
            <w:r w:rsidRPr="00296FD2">
              <w:rPr>
                <w:color w:val="000000"/>
                <w:sz w:val="20"/>
                <w:szCs w:val="20"/>
              </w:rPr>
              <w:t>At The Market Offering Agreement, by and between the Company and H.C. Wainwright &amp; Co., LLC, dated July 18, 2023.</w:t>
            </w:r>
          </w:p>
        </w:tc>
      </w:tr>
      <w:tr w:rsidR="00820274" w14:paraId="67A0835F" w14:textId="77777777" w:rsidTr="00296FD2">
        <w:tc>
          <w:tcPr>
            <w:tcW w:w="0" w:type="auto"/>
            <w:shd w:val="clear" w:color="auto" w:fill="FFFFFF"/>
            <w:hideMark/>
          </w:tcPr>
          <w:p w14:paraId="17547436" w14:textId="77777777" w:rsidR="00820274" w:rsidRDefault="00820274">
            <w:pPr>
              <w:rPr>
                <w:color w:val="000000"/>
                <w:sz w:val="20"/>
                <w:szCs w:val="20"/>
              </w:rPr>
            </w:pPr>
            <w:r>
              <w:rPr>
                <w:color w:val="000000"/>
                <w:sz w:val="20"/>
                <w:szCs w:val="20"/>
              </w:rPr>
              <w:t>23.1</w:t>
            </w:r>
          </w:p>
        </w:tc>
        <w:tc>
          <w:tcPr>
            <w:tcW w:w="0" w:type="auto"/>
            <w:shd w:val="clear" w:color="auto" w:fill="FFFFFF"/>
            <w:hideMark/>
          </w:tcPr>
          <w:p w14:paraId="1DFAEEA5"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3EA1FE2B" w14:textId="63D0C0A2" w:rsidR="00820274" w:rsidRDefault="00820274">
            <w:pPr>
              <w:rPr>
                <w:color w:val="000000"/>
                <w:sz w:val="20"/>
                <w:szCs w:val="20"/>
              </w:rPr>
            </w:pPr>
            <w:r w:rsidRPr="00296FD2">
              <w:rPr>
                <w:color w:val="000000"/>
                <w:sz w:val="20"/>
                <w:szCs w:val="20"/>
              </w:rPr>
              <w:t>Consent of Womble Bond Dickinson (US) LLP (included in Exhibit 5.1).</w:t>
            </w:r>
          </w:p>
        </w:tc>
      </w:tr>
      <w:tr w:rsidR="00820274" w14:paraId="709360A9" w14:textId="77777777" w:rsidTr="00296FD2">
        <w:tc>
          <w:tcPr>
            <w:tcW w:w="0" w:type="auto"/>
            <w:shd w:val="clear" w:color="auto" w:fill="FFFFFF"/>
            <w:hideMark/>
          </w:tcPr>
          <w:p w14:paraId="13DCC5DB" w14:textId="77777777" w:rsidR="00820274" w:rsidRDefault="00820274">
            <w:pPr>
              <w:rPr>
                <w:color w:val="000000"/>
                <w:sz w:val="20"/>
                <w:szCs w:val="20"/>
              </w:rPr>
            </w:pPr>
            <w:r>
              <w:rPr>
                <w:color w:val="000000"/>
                <w:sz w:val="20"/>
                <w:szCs w:val="20"/>
              </w:rPr>
              <w:t>104</w:t>
            </w:r>
          </w:p>
        </w:tc>
        <w:tc>
          <w:tcPr>
            <w:tcW w:w="0" w:type="auto"/>
            <w:shd w:val="clear" w:color="auto" w:fill="FFFFFF"/>
            <w:hideMark/>
          </w:tcPr>
          <w:p w14:paraId="179F1D15"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4E2B5CC9" w14:textId="77777777" w:rsidR="00820274" w:rsidRDefault="00820274">
            <w:pPr>
              <w:rPr>
                <w:color w:val="000000"/>
                <w:sz w:val="20"/>
                <w:szCs w:val="20"/>
              </w:rPr>
            </w:pPr>
            <w:r>
              <w:rPr>
                <w:color w:val="000000"/>
                <w:sz w:val="20"/>
                <w:szCs w:val="20"/>
              </w:rPr>
              <w:t>Cover Page Interactive Data File (embedded within the Inline XBRL document)</w:t>
            </w:r>
          </w:p>
        </w:tc>
      </w:tr>
    </w:tbl>
    <w:p w14:paraId="60F024D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tbl>
      <w:tblPr>
        <w:tblW w:w="18500" w:type="dxa"/>
        <w:tblCellMar>
          <w:left w:w="0" w:type="dxa"/>
          <w:right w:w="0" w:type="dxa"/>
        </w:tblCellMar>
        <w:tblLook w:val="04A0" w:firstRow="1" w:lastRow="0" w:firstColumn="1" w:lastColumn="0" w:noHBand="0" w:noVBand="1"/>
      </w:tblPr>
      <w:tblGrid>
        <w:gridCol w:w="18500"/>
      </w:tblGrid>
      <w:tr w:rsidR="00820274" w14:paraId="68824848" w14:textId="77777777" w:rsidTr="00820274">
        <w:tc>
          <w:tcPr>
            <w:tcW w:w="18500" w:type="dxa"/>
            <w:hideMark/>
          </w:tcPr>
          <w:p w14:paraId="025FC22F" w14:textId="3CD4D878" w:rsidR="00820274" w:rsidRDefault="00820274">
            <w:pPr>
              <w:rPr>
                <w:sz w:val="20"/>
                <w:szCs w:val="20"/>
              </w:rPr>
            </w:pPr>
            <w:r>
              <w:rPr>
                <w:sz w:val="20"/>
                <w:szCs w:val="20"/>
              </w:rPr>
              <w:t> </w:t>
            </w:r>
          </w:p>
          <w:p w14:paraId="4C81579F" w14:textId="190B5B69" w:rsidR="00097DB1" w:rsidRDefault="00097DB1">
            <w:pPr>
              <w:rPr>
                <w:sz w:val="20"/>
                <w:szCs w:val="20"/>
              </w:rPr>
            </w:pPr>
          </w:p>
          <w:p w14:paraId="63BE8D28" w14:textId="77777777" w:rsidR="00097DB1" w:rsidRDefault="00097DB1">
            <w:pPr>
              <w:rPr>
                <w:sz w:val="20"/>
                <w:szCs w:val="20"/>
              </w:rPr>
            </w:pPr>
          </w:p>
          <w:p w14:paraId="77C1FFE1" w14:textId="3C4D73C9" w:rsidR="00820274" w:rsidRDefault="00820274">
            <w:pPr>
              <w:rPr>
                <w:sz w:val="20"/>
                <w:szCs w:val="20"/>
              </w:rPr>
            </w:pPr>
          </w:p>
        </w:tc>
      </w:tr>
    </w:tbl>
    <w:p w14:paraId="691BE193" w14:textId="77777777" w:rsidR="00820274" w:rsidRDefault="00820274" w:rsidP="00820274">
      <w:pPr>
        <w:pStyle w:val="NormalWeb"/>
        <w:shd w:val="clear" w:color="auto" w:fill="FFFFFF"/>
        <w:spacing w:before="0" w:beforeAutospacing="0" w:after="0" w:afterAutospacing="0"/>
        <w:rPr>
          <w:color w:val="000000"/>
          <w:sz w:val="27"/>
          <w:szCs w:val="27"/>
        </w:rPr>
      </w:pPr>
      <w:r>
        <w:rPr>
          <w:color w:val="000000"/>
          <w:sz w:val="27"/>
          <w:szCs w:val="27"/>
        </w:rPr>
        <w:t> </w:t>
      </w:r>
    </w:p>
    <w:p w14:paraId="6DA9A20F" w14:textId="77777777" w:rsidR="00820274" w:rsidRDefault="00820274" w:rsidP="00820274">
      <w:pPr>
        <w:pStyle w:val="NormalWeb"/>
        <w:shd w:val="clear" w:color="auto" w:fill="FFFFFF"/>
        <w:spacing w:before="0" w:beforeAutospacing="0" w:after="0" w:afterAutospacing="0"/>
        <w:jc w:val="center"/>
        <w:rPr>
          <w:color w:val="000000"/>
          <w:sz w:val="20"/>
          <w:szCs w:val="20"/>
        </w:rPr>
      </w:pPr>
      <w:r>
        <w:rPr>
          <w:color w:val="000000"/>
          <w:sz w:val="20"/>
          <w:szCs w:val="20"/>
        </w:rPr>
        <w:t> </w:t>
      </w:r>
    </w:p>
    <w:p w14:paraId="1FBB1B9A" w14:textId="77777777" w:rsidR="00820274" w:rsidRDefault="00820274" w:rsidP="00820274">
      <w:pPr>
        <w:pStyle w:val="NormalWeb"/>
        <w:shd w:val="clear" w:color="auto" w:fill="FFFFFF"/>
        <w:spacing w:before="0" w:beforeAutospacing="0" w:after="0" w:afterAutospacing="0"/>
        <w:jc w:val="center"/>
        <w:rPr>
          <w:color w:val="000000"/>
          <w:sz w:val="20"/>
          <w:szCs w:val="20"/>
        </w:rPr>
      </w:pPr>
      <w:r>
        <w:rPr>
          <w:b/>
          <w:bCs/>
          <w:color w:val="000000"/>
          <w:sz w:val="20"/>
          <w:szCs w:val="20"/>
          <w:shd w:val="clear" w:color="auto" w:fill="FFFFFF"/>
        </w:rPr>
        <w:lastRenderedPageBreak/>
        <w:t>SIGNATURES</w:t>
      </w:r>
    </w:p>
    <w:p w14:paraId="681EAA0D"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7B6E9D05" w14:textId="77777777" w:rsidR="00820274" w:rsidRDefault="00820274" w:rsidP="00820274">
      <w:pPr>
        <w:pStyle w:val="NormalWeb"/>
        <w:shd w:val="clear" w:color="auto" w:fill="FFFFFF"/>
        <w:spacing w:before="0" w:beforeAutospacing="0" w:after="0" w:afterAutospacing="0"/>
        <w:ind w:firstLine="720"/>
        <w:jc w:val="both"/>
        <w:rPr>
          <w:color w:val="000000"/>
          <w:sz w:val="20"/>
          <w:szCs w:val="20"/>
        </w:rPr>
      </w:pPr>
      <w:r>
        <w:rPr>
          <w:color w:val="000000"/>
          <w:sz w:val="20"/>
          <w:szCs w:val="20"/>
          <w:shd w:val="clear" w:color="auto" w:fill="FFFFFF"/>
        </w:rPr>
        <w:t>Pursuant to the requirements of the Securities Exchange Act of 1934, the registrant has duly caused this report to be signed on its behalf by the undersigned thereunto duly authorized.</w:t>
      </w:r>
    </w:p>
    <w:p w14:paraId="5D8AC30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F68A0E9" w14:textId="482E5F5C"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Date: July 18, 2023</w:t>
      </w:r>
    </w:p>
    <w:p w14:paraId="5BF1DB6A"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4800"/>
        <w:gridCol w:w="426"/>
        <w:gridCol w:w="4854"/>
      </w:tblGrid>
      <w:tr w:rsidR="00820274" w14:paraId="2F89A97D" w14:textId="77777777" w:rsidTr="00296FD2">
        <w:tc>
          <w:tcPr>
            <w:tcW w:w="0" w:type="auto"/>
            <w:shd w:val="clear" w:color="auto" w:fill="FFFFFF"/>
            <w:hideMark/>
          </w:tcPr>
          <w:p w14:paraId="687B6A5D" w14:textId="77777777" w:rsidR="00820274" w:rsidRDefault="00820274">
            <w:pPr>
              <w:rPr>
                <w:color w:val="000000"/>
                <w:sz w:val="20"/>
                <w:szCs w:val="20"/>
              </w:rPr>
            </w:pPr>
            <w:r>
              <w:rPr>
                <w:color w:val="000000"/>
                <w:sz w:val="20"/>
                <w:szCs w:val="20"/>
              </w:rPr>
              <w:t> </w:t>
            </w:r>
          </w:p>
        </w:tc>
        <w:tc>
          <w:tcPr>
            <w:tcW w:w="0" w:type="auto"/>
            <w:gridSpan w:val="2"/>
            <w:shd w:val="clear" w:color="auto" w:fill="FFFFFF"/>
            <w:hideMark/>
          </w:tcPr>
          <w:p w14:paraId="61AC7176" w14:textId="1B311D74" w:rsidR="00820274" w:rsidRDefault="00820274">
            <w:pPr>
              <w:rPr>
                <w:color w:val="000000"/>
                <w:sz w:val="20"/>
                <w:szCs w:val="20"/>
              </w:rPr>
            </w:pPr>
            <w:r>
              <w:rPr>
                <w:color w:val="000000"/>
                <w:sz w:val="20"/>
                <w:szCs w:val="20"/>
              </w:rPr>
              <w:t>GEOVAX LABS, INC.</w:t>
            </w:r>
          </w:p>
        </w:tc>
      </w:tr>
      <w:tr w:rsidR="00820274" w14:paraId="29E173E2" w14:textId="77777777" w:rsidTr="00296FD2">
        <w:tc>
          <w:tcPr>
            <w:tcW w:w="9250" w:type="dxa"/>
            <w:shd w:val="clear" w:color="auto" w:fill="FFFFFF"/>
            <w:hideMark/>
          </w:tcPr>
          <w:p w14:paraId="4F37F048" w14:textId="77777777" w:rsidR="00820274" w:rsidRDefault="00820274">
            <w:pPr>
              <w:rPr>
                <w:color w:val="000000"/>
                <w:sz w:val="20"/>
                <w:szCs w:val="20"/>
              </w:rPr>
            </w:pPr>
            <w:r>
              <w:rPr>
                <w:color w:val="000000"/>
                <w:sz w:val="20"/>
                <w:szCs w:val="20"/>
              </w:rPr>
              <w:t> </w:t>
            </w:r>
          </w:p>
        </w:tc>
        <w:tc>
          <w:tcPr>
            <w:tcW w:w="555" w:type="dxa"/>
            <w:shd w:val="clear" w:color="auto" w:fill="FFFFFF"/>
            <w:hideMark/>
          </w:tcPr>
          <w:p w14:paraId="3009EC20" w14:textId="77777777" w:rsidR="00820274" w:rsidRDefault="00820274">
            <w:pPr>
              <w:rPr>
                <w:color w:val="000000"/>
                <w:sz w:val="20"/>
                <w:szCs w:val="20"/>
              </w:rPr>
            </w:pPr>
            <w:r>
              <w:rPr>
                <w:color w:val="000000"/>
                <w:sz w:val="20"/>
                <w:szCs w:val="20"/>
              </w:rPr>
              <w:t> </w:t>
            </w:r>
          </w:p>
        </w:tc>
        <w:tc>
          <w:tcPr>
            <w:tcW w:w="8695" w:type="dxa"/>
            <w:shd w:val="clear" w:color="auto" w:fill="FFFFFF"/>
            <w:hideMark/>
          </w:tcPr>
          <w:p w14:paraId="07B445AB" w14:textId="77777777" w:rsidR="00820274" w:rsidRDefault="00820274">
            <w:pPr>
              <w:rPr>
                <w:color w:val="000000"/>
                <w:sz w:val="20"/>
                <w:szCs w:val="20"/>
              </w:rPr>
            </w:pPr>
            <w:r>
              <w:rPr>
                <w:color w:val="000000"/>
                <w:sz w:val="20"/>
                <w:szCs w:val="20"/>
              </w:rPr>
              <w:t> </w:t>
            </w:r>
          </w:p>
        </w:tc>
      </w:tr>
      <w:tr w:rsidR="00820274" w14:paraId="009C9DE3" w14:textId="77777777" w:rsidTr="00296FD2">
        <w:tc>
          <w:tcPr>
            <w:tcW w:w="0" w:type="auto"/>
            <w:shd w:val="clear" w:color="auto" w:fill="FFFFFF"/>
            <w:hideMark/>
          </w:tcPr>
          <w:p w14:paraId="492778DF"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0A54DFB4" w14:textId="77777777" w:rsidR="00820274" w:rsidRDefault="00820274">
            <w:pPr>
              <w:rPr>
                <w:color w:val="000000"/>
                <w:sz w:val="20"/>
                <w:szCs w:val="20"/>
              </w:rPr>
            </w:pPr>
            <w:r>
              <w:rPr>
                <w:color w:val="000000"/>
                <w:sz w:val="20"/>
                <w:szCs w:val="20"/>
              </w:rPr>
              <w:t>By:</w:t>
            </w:r>
          </w:p>
        </w:tc>
        <w:tc>
          <w:tcPr>
            <w:tcW w:w="0" w:type="auto"/>
            <w:tcBorders>
              <w:bottom w:val="single" w:sz="12" w:space="0" w:color="000000"/>
            </w:tcBorders>
            <w:shd w:val="clear" w:color="auto" w:fill="FFFFFF"/>
            <w:hideMark/>
          </w:tcPr>
          <w:p w14:paraId="7516A3F3" w14:textId="3D3751BE" w:rsidR="00820274" w:rsidRDefault="00820274">
            <w:pPr>
              <w:rPr>
                <w:color w:val="000000"/>
                <w:sz w:val="20"/>
                <w:szCs w:val="20"/>
              </w:rPr>
            </w:pPr>
            <w:r>
              <w:rPr>
                <w:i/>
                <w:iCs/>
                <w:color w:val="000000"/>
                <w:sz w:val="20"/>
                <w:szCs w:val="20"/>
              </w:rPr>
              <w:t xml:space="preserve">/s/ </w:t>
            </w:r>
            <w:r w:rsidRPr="00820274">
              <w:rPr>
                <w:i/>
                <w:iCs/>
                <w:color w:val="000000"/>
                <w:sz w:val="20"/>
                <w:szCs w:val="20"/>
              </w:rPr>
              <w:t>M</w:t>
            </w:r>
            <w:r w:rsidRPr="00296FD2">
              <w:rPr>
                <w:i/>
                <w:iCs/>
                <w:color w:val="000000"/>
                <w:sz w:val="20"/>
                <w:szCs w:val="20"/>
              </w:rPr>
              <w:t>ark W. Reynolds</w:t>
            </w:r>
          </w:p>
        </w:tc>
      </w:tr>
      <w:tr w:rsidR="00820274" w14:paraId="60E9CBC1" w14:textId="77777777" w:rsidTr="00296FD2">
        <w:tc>
          <w:tcPr>
            <w:tcW w:w="0" w:type="auto"/>
            <w:shd w:val="clear" w:color="auto" w:fill="FFFFFF"/>
            <w:hideMark/>
          </w:tcPr>
          <w:p w14:paraId="1361C3A4"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289B2A92"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63BCE6A9" w14:textId="71C48205" w:rsidR="00820274" w:rsidRDefault="00820274">
            <w:pPr>
              <w:rPr>
                <w:color w:val="000000"/>
                <w:sz w:val="20"/>
                <w:szCs w:val="20"/>
              </w:rPr>
            </w:pPr>
            <w:r>
              <w:rPr>
                <w:color w:val="000000"/>
                <w:sz w:val="20"/>
                <w:szCs w:val="20"/>
              </w:rPr>
              <w:t>Mark W. Reynolds</w:t>
            </w:r>
          </w:p>
        </w:tc>
      </w:tr>
      <w:tr w:rsidR="00820274" w14:paraId="62DEA771" w14:textId="77777777" w:rsidTr="00296FD2">
        <w:tc>
          <w:tcPr>
            <w:tcW w:w="0" w:type="auto"/>
            <w:shd w:val="clear" w:color="auto" w:fill="FFFFFF"/>
            <w:hideMark/>
          </w:tcPr>
          <w:p w14:paraId="043A91EB"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5FC9FF0"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790A389" w14:textId="6A563A6A" w:rsidR="00820274" w:rsidRDefault="00820274">
            <w:pPr>
              <w:rPr>
                <w:color w:val="000000"/>
                <w:sz w:val="20"/>
                <w:szCs w:val="20"/>
              </w:rPr>
            </w:pPr>
            <w:r>
              <w:rPr>
                <w:color w:val="000000"/>
                <w:sz w:val="20"/>
                <w:szCs w:val="20"/>
              </w:rPr>
              <w:t>Chief Financial Officer</w:t>
            </w:r>
          </w:p>
        </w:tc>
      </w:tr>
    </w:tbl>
    <w:p w14:paraId="12CA90BE"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B519A86" w14:textId="2381A9CF" w:rsidR="004B3179" w:rsidRPr="008D7E3A" w:rsidRDefault="004B3179" w:rsidP="008D7E3A"/>
    <w:sectPr w:rsidR="004B3179" w:rsidRPr="008D7E3A">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01E97" w14:textId="77777777" w:rsidR="009B27D7" w:rsidRDefault="009B27D7" w:rsidP="004422FB">
      <w:r>
        <w:separator/>
      </w:r>
    </w:p>
  </w:endnote>
  <w:endnote w:type="continuationSeparator" w:id="0">
    <w:p w14:paraId="0E60032E" w14:textId="77777777" w:rsidR="009B27D7" w:rsidRDefault="009B27D7"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7C1F" w14:textId="77777777" w:rsidR="009B27D7" w:rsidRDefault="009B27D7" w:rsidP="004422FB">
      <w:r>
        <w:separator/>
      </w:r>
    </w:p>
  </w:footnote>
  <w:footnote w:type="continuationSeparator" w:id="0">
    <w:p w14:paraId="6AAFB79C" w14:textId="77777777" w:rsidR="009B27D7" w:rsidRDefault="009B27D7"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926695">
    <w:abstractNumId w:val="0"/>
  </w:num>
  <w:num w:numId="2" w16cid:durableId="184870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5EA2"/>
    <w:rsid w:val="00096511"/>
    <w:rsid w:val="00097DB1"/>
    <w:rsid w:val="000E6508"/>
    <w:rsid w:val="00134BBC"/>
    <w:rsid w:val="00144D4F"/>
    <w:rsid w:val="00172B54"/>
    <w:rsid w:val="001A687F"/>
    <w:rsid w:val="001D3520"/>
    <w:rsid w:val="002049D0"/>
    <w:rsid w:val="00241DEF"/>
    <w:rsid w:val="00246139"/>
    <w:rsid w:val="00277674"/>
    <w:rsid w:val="00296BF7"/>
    <w:rsid w:val="00296FD2"/>
    <w:rsid w:val="002E7A44"/>
    <w:rsid w:val="002F020C"/>
    <w:rsid w:val="00304DE8"/>
    <w:rsid w:val="0036369E"/>
    <w:rsid w:val="00376DEC"/>
    <w:rsid w:val="003B3474"/>
    <w:rsid w:val="003B670F"/>
    <w:rsid w:val="003F3DEB"/>
    <w:rsid w:val="00401F33"/>
    <w:rsid w:val="00404B0F"/>
    <w:rsid w:val="00414E31"/>
    <w:rsid w:val="004422FB"/>
    <w:rsid w:val="004562CE"/>
    <w:rsid w:val="00494777"/>
    <w:rsid w:val="004B3179"/>
    <w:rsid w:val="004D4E0A"/>
    <w:rsid w:val="00552D47"/>
    <w:rsid w:val="00583D37"/>
    <w:rsid w:val="005A1F60"/>
    <w:rsid w:val="00652DCC"/>
    <w:rsid w:val="00677F25"/>
    <w:rsid w:val="00691E45"/>
    <w:rsid w:val="006A30B4"/>
    <w:rsid w:val="006B4011"/>
    <w:rsid w:val="006C4831"/>
    <w:rsid w:val="006E7AA3"/>
    <w:rsid w:val="007150B5"/>
    <w:rsid w:val="00716A75"/>
    <w:rsid w:val="00734084"/>
    <w:rsid w:val="00766EB9"/>
    <w:rsid w:val="007B5113"/>
    <w:rsid w:val="007D058F"/>
    <w:rsid w:val="007E3D57"/>
    <w:rsid w:val="00820274"/>
    <w:rsid w:val="00846F5B"/>
    <w:rsid w:val="0089446A"/>
    <w:rsid w:val="008A5F28"/>
    <w:rsid w:val="008B7616"/>
    <w:rsid w:val="008D7E3A"/>
    <w:rsid w:val="008E4E77"/>
    <w:rsid w:val="00903941"/>
    <w:rsid w:val="00922B4A"/>
    <w:rsid w:val="00922FCF"/>
    <w:rsid w:val="0095070C"/>
    <w:rsid w:val="009B15B2"/>
    <w:rsid w:val="009B27D7"/>
    <w:rsid w:val="009F16FD"/>
    <w:rsid w:val="009F32C7"/>
    <w:rsid w:val="009F7B30"/>
    <w:rsid w:val="00A213F5"/>
    <w:rsid w:val="00A30573"/>
    <w:rsid w:val="00A7343F"/>
    <w:rsid w:val="00A7489D"/>
    <w:rsid w:val="00A7711D"/>
    <w:rsid w:val="00AA3D35"/>
    <w:rsid w:val="00B44E7B"/>
    <w:rsid w:val="00B4616E"/>
    <w:rsid w:val="00B51502"/>
    <w:rsid w:val="00B61191"/>
    <w:rsid w:val="00B66B45"/>
    <w:rsid w:val="00BB7014"/>
    <w:rsid w:val="00BC0F2B"/>
    <w:rsid w:val="00BC6263"/>
    <w:rsid w:val="00BC6551"/>
    <w:rsid w:val="00BF415F"/>
    <w:rsid w:val="00C36B57"/>
    <w:rsid w:val="00C438BC"/>
    <w:rsid w:val="00C528BC"/>
    <w:rsid w:val="00C53991"/>
    <w:rsid w:val="00C815CE"/>
    <w:rsid w:val="00CB1EAA"/>
    <w:rsid w:val="00CB3D5C"/>
    <w:rsid w:val="00CC52F4"/>
    <w:rsid w:val="00CD55C2"/>
    <w:rsid w:val="00CE3919"/>
    <w:rsid w:val="00CE3B4D"/>
    <w:rsid w:val="00D128D7"/>
    <w:rsid w:val="00D17971"/>
    <w:rsid w:val="00D46FAD"/>
    <w:rsid w:val="00D60567"/>
    <w:rsid w:val="00D95C48"/>
    <w:rsid w:val="00DA49BC"/>
    <w:rsid w:val="00DE728B"/>
    <w:rsid w:val="00E115D3"/>
    <w:rsid w:val="00E633E7"/>
    <w:rsid w:val="00EB5CF9"/>
    <w:rsid w:val="00EC3F8A"/>
    <w:rsid w:val="00EF4933"/>
    <w:rsid w:val="00F073F4"/>
    <w:rsid w:val="00F100FC"/>
    <w:rsid w:val="00F13A9C"/>
    <w:rsid w:val="00F27385"/>
    <w:rsid w:val="00F53643"/>
    <w:rsid w:val="00F65C64"/>
    <w:rsid w:val="00F737D0"/>
    <w:rsid w:val="00F958BB"/>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820274"/>
    <w:rPr>
      <w:sz w:val="24"/>
      <w:szCs w:val="24"/>
    </w:rPr>
  </w:style>
  <w:style w:type="paragraph" w:styleId="NormalWeb">
    <w:name w:val="Normal (Web)"/>
    <w:basedOn w:val="Normal"/>
    <w:uiPriority w:val="99"/>
    <w:unhideWhenUsed/>
    <w:rsid w:val="00820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678969373">
      <w:bodyDiv w:val="1"/>
      <w:marLeft w:val="0"/>
      <w:marRight w:val="0"/>
      <w:marTop w:val="0"/>
      <w:marBottom w:val="0"/>
      <w:divBdr>
        <w:top w:val="none" w:sz="0" w:space="0" w:color="auto"/>
        <w:left w:val="none" w:sz="0" w:space="0" w:color="auto"/>
        <w:bottom w:val="none" w:sz="0" w:space="0" w:color="auto"/>
        <w:right w:val="none" w:sz="0" w:space="0" w:color="auto"/>
      </w:divBdr>
      <w:divsChild>
        <w:div w:id="545265773">
          <w:marLeft w:val="0"/>
          <w:marRight w:val="0"/>
          <w:marTop w:val="0"/>
          <w:marBottom w:val="120"/>
          <w:divBdr>
            <w:top w:val="none" w:sz="0" w:space="0" w:color="auto"/>
            <w:left w:val="none" w:sz="0" w:space="0" w:color="auto"/>
            <w:bottom w:val="single" w:sz="12" w:space="0" w:color="000000"/>
            <w:right w:val="none" w:sz="0" w:space="0" w:color="auto"/>
          </w:divBdr>
        </w:div>
        <w:div w:id="525868997">
          <w:marLeft w:val="0"/>
          <w:marRight w:val="0"/>
          <w:marTop w:val="120"/>
          <w:marBottom w:val="0"/>
          <w:divBdr>
            <w:top w:val="none" w:sz="0" w:space="0" w:color="auto"/>
            <w:left w:val="none" w:sz="0" w:space="0" w:color="auto"/>
            <w:bottom w:val="none" w:sz="0" w:space="0" w:color="auto"/>
            <w:right w:val="none" w:sz="0" w:space="0" w:color="auto"/>
          </w:divBdr>
        </w:div>
      </w:divsChild>
    </w:div>
    <w:div w:id="1687441335">
      <w:bodyDiv w:val="1"/>
      <w:marLeft w:val="0"/>
      <w:marRight w:val="0"/>
      <w:marTop w:val="0"/>
      <w:marBottom w:val="0"/>
      <w:divBdr>
        <w:top w:val="none" w:sz="0" w:space="0" w:color="auto"/>
        <w:left w:val="none" w:sz="0" w:space="0" w:color="auto"/>
        <w:bottom w:val="none" w:sz="0" w:space="0" w:color="auto"/>
        <w:right w:val="none" w:sz="0" w:space="0" w:color="auto"/>
      </w:divBdr>
      <w:divsChild>
        <w:div w:id="1954365475">
          <w:marLeft w:val="0"/>
          <w:marRight w:val="0"/>
          <w:marTop w:val="0"/>
          <w:marBottom w:val="120"/>
          <w:divBdr>
            <w:top w:val="none" w:sz="0" w:space="0" w:color="auto"/>
            <w:left w:val="none" w:sz="0" w:space="0" w:color="auto"/>
            <w:bottom w:val="single" w:sz="12" w:space="0" w:color="000000"/>
            <w:right w:val="none" w:sz="0" w:space="0" w:color="auto"/>
          </w:divBdr>
        </w:div>
        <w:div w:id="576594956">
          <w:marLeft w:val="0"/>
          <w:marRight w:val="0"/>
          <w:marTop w:val="120"/>
          <w:marBottom w:val="0"/>
          <w:divBdr>
            <w:top w:val="none" w:sz="0" w:space="0" w:color="auto"/>
            <w:left w:val="none" w:sz="0" w:space="0" w:color="auto"/>
            <w:bottom w:val="none" w:sz="0" w:space="0" w:color="auto"/>
            <w:right w:val="none" w:sz="0" w:space="0" w:color="auto"/>
          </w:divBdr>
        </w:div>
      </w:divsChild>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1012</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dcterms:created xsi:type="dcterms:W3CDTF">2023-07-18T20:55:00Z</dcterms:created>
  <dcterms:modified xsi:type="dcterms:W3CDTF">2023-07-18T20:55:00Z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