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0F958164" w:rsidR="008D7E3A" w:rsidRDefault="008D7E3A" w:rsidP="008D7E3A">
      <w:pPr>
        <w:ind w:left="144" w:right="144"/>
        <w:jc w:val="center"/>
        <w:rPr>
          <w:sz w:val="20"/>
          <w:szCs w:val="20"/>
        </w:rPr>
      </w:pPr>
      <w:r>
        <w:rPr>
          <w:b/>
          <w:bCs/>
          <w:sz w:val="20"/>
          <w:szCs w:val="20"/>
        </w:rPr>
        <w:t>Date of report (Date of earliest event reported):  </w:t>
      </w:r>
      <w:r w:rsidR="00797D8A">
        <w:rPr>
          <w:b/>
          <w:bCs/>
          <w:sz w:val="20"/>
          <w:szCs w:val="20"/>
        </w:rPr>
        <w:t>August</w:t>
      </w:r>
      <w:r w:rsidR="000850CC">
        <w:rPr>
          <w:b/>
          <w:bCs/>
          <w:sz w:val="20"/>
          <w:szCs w:val="20"/>
        </w:rPr>
        <w:t xml:space="preserve"> </w:t>
      </w:r>
      <w:r w:rsidR="00B55645">
        <w:rPr>
          <w:b/>
          <w:bCs/>
          <w:sz w:val="20"/>
          <w:szCs w:val="20"/>
        </w:rPr>
        <w:t>31</w:t>
      </w:r>
      <w:r>
        <w:rPr>
          <w:b/>
          <w:bCs/>
          <w:sz w:val="20"/>
          <w:szCs w:val="20"/>
        </w:rPr>
        <w:t>, 202</w:t>
      </w:r>
      <w:r w:rsidR="007F74E8">
        <w:rPr>
          <w:b/>
          <w:bCs/>
          <w:sz w:val="20"/>
          <w:szCs w:val="20"/>
        </w:rPr>
        <w:t>2</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p w14:paraId="4AE0011C" w14:textId="2522AB27" w:rsidR="00DF2B44" w:rsidRDefault="00F9508E" w:rsidP="00C71921">
      <w:pPr>
        <w:ind w:left="144" w:right="144"/>
        <w:jc w:val="both"/>
        <w:rPr>
          <w:sz w:val="20"/>
          <w:szCs w:val="20"/>
        </w:rPr>
      </w:pPr>
      <w:r>
        <w:rPr>
          <w:sz w:val="20"/>
          <w:szCs w:val="20"/>
        </w:rPr>
        <w:t>This Current Report on Form 8-K and other reports filed by GeoVax Labs, Inc. (the “Company</w:t>
      </w:r>
      <w:r w:rsidR="00EC14ED">
        <w:rPr>
          <w:sz w:val="20"/>
          <w:szCs w:val="20"/>
        </w:rPr>
        <w:t>,</w:t>
      </w:r>
      <w:r>
        <w:rPr>
          <w:sz w:val="20"/>
          <w:szCs w:val="20"/>
        </w:rPr>
        <w:t>”</w:t>
      </w:r>
      <w:r w:rsidR="00EC14ED">
        <w:rPr>
          <w:sz w:val="20"/>
          <w:szCs w:val="20"/>
        </w:rPr>
        <w:t xml:space="preserve"> “us” or “we”</w:t>
      </w:r>
      <w:r>
        <w:rPr>
          <w:sz w:val="20"/>
          <w:szCs w:val="20"/>
        </w:rPr>
        <w:t>)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Pr="00314FC4">
        <w:rPr>
          <w:sz w:val="20"/>
          <w:szCs w:val="20"/>
        </w:rPr>
        <w:t xml:space="preserve">believe,” “look forward to,” “may,” “estimate,” “continue,” “anticipate,” “intend,” “should,” “plan,” “could,” </w:t>
      </w:r>
      <w:r>
        <w:rPr>
          <w:sz w:val="20"/>
          <w:szCs w:val="20"/>
        </w:rPr>
        <w:t xml:space="preserve">“desire,” </w:t>
      </w:r>
      <w:r w:rsidRPr="00314FC4">
        <w:rPr>
          <w:sz w:val="20"/>
          <w:szCs w:val="20"/>
        </w:rPr>
        <w:t>“target,” “potential,” “is likely,” “will,” “expect”</w:t>
      </w:r>
      <w:r>
        <w:rPr>
          <w:sz w:val="20"/>
          <w:szCs w:val="20"/>
        </w:rPr>
        <w:t xml:space="preserve">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631FD8B0" w14:textId="77777777" w:rsidR="00DF2B44" w:rsidRDefault="00DF2B44" w:rsidP="00F9508E">
      <w:pPr>
        <w:ind w:left="144" w:right="144"/>
        <w:jc w:val="both"/>
        <w:rPr>
          <w:sz w:val="20"/>
          <w:szCs w:val="20"/>
        </w:rPr>
      </w:pPr>
    </w:p>
    <w:p w14:paraId="3BD02D2A" w14:textId="77777777" w:rsidR="00B55645" w:rsidRDefault="00B55645" w:rsidP="00B55645">
      <w:pPr>
        <w:ind w:left="144" w:right="144"/>
        <w:jc w:val="both"/>
        <w:rPr>
          <w:sz w:val="20"/>
          <w:szCs w:val="20"/>
        </w:rPr>
      </w:pPr>
      <w:r>
        <w:rPr>
          <w:b/>
          <w:bCs/>
          <w:sz w:val="20"/>
          <w:szCs w:val="20"/>
        </w:rPr>
        <w:t>Item 5.07 </w:t>
      </w:r>
      <w:r>
        <w:rPr>
          <w:b/>
          <w:bCs/>
          <w:sz w:val="20"/>
          <w:szCs w:val="20"/>
        </w:rPr>
        <w:tab/>
        <w:t>Submission of Matters to a Vote of Security Holders.</w:t>
      </w:r>
    </w:p>
    <w:p w14:paraId="3C617A93" w14:textId="77777777" w:rsidR="00B55645" w:rsidRDefault="00B55645" w:rsidP="00B55645">
      <w:pPr>
        <w:ind w:left="144" w:right="144"/>
        <w:jc w:val="both"/>
        <w:rPr>
          <w:sz w:val="20"/>
          <w:szCs w:val="20"/>
        </w:rPr>
      </w:pPr>
      <w:r>
        <w:rPr>
          <w:sz w:val="20"/>
          <w:szCs w:val="20"/>
        </w:rPr>
        <w:t> </w:t>
      </w:r>
    </w:p>
    <w:p w14:paraId="02A83CD6" w14:textId="4C7BF1E8" w:rsidR="00B55645" w:rsidRDefault="00B55645" w:rsidP="00B55645">
      <w:pPr>
        <w:ind w:left="144" w:right="144"/>
        <w:jc w:val="both"/>
        <w:rPr>
          <w:sz w:val="20"/>
          <w:szCs w:val="20"/>
        </w:rPr>
      </w:pPr>
      <w:r>
        <w:rPr>
          <w:sz w:val="20"/>
          <w:szCs w:val="20"/>
        </w:rPr>
        <w:t xml:space="preserve">The Company held its annual meeting of stockholders on August </w:t>
      </w:r>
      <w:r w:rsidR="00964940">
        <w:rPr>
          <w:sz w:val="20"/>
          <w:szCs w:val="20"/>
        </w:rPr>
        <w:t>3</w:t>
      </w:r>
      <w:r>
        <w:rPr>
          <w:sz w:val="20"/>
          <w:szCs w:val="20"/>
        </w:rPr>
        <w:t>1, 202</w:t>
      </w:r>
      <w:r w:rsidR="00964940">
        <w:rPr>
          <w:sz w:val="20"/>
          <w:szCs w:val="20"/>
        </w:rPr>
        <w:t>2</w:t>
      </w:r>
      <w:r>
        <w:rPr>
          <w:sz w:val="20"/>
          <w:szCs w:val="20"/>
        </w:rPr>
        <w:t xml:space="preserve">. The Company received proxies totaling approximately </w:t>
      </w:r>
      <w:r w:rsidR="00E439C5">
        <w:rPr>
          <w:sz w:val="20"/>
          <w:szCs w:val="20"/>
        </w:rPr>
        <w:t>51.62</w:t>
      </w:r>
      <w:r>
        <w:rPr>
          <w:sz w:val="20"/>
          <w:szCs w:val="20"/>
        </w:rPr>
        <w:t xml:space="preserve">% of its </w:t>
      </w:r>
      <w:r w:rsidR="00964940">
        <w:rPr>
          <w:sz w:val="20"/>
          <w:szCs w:val="20"/>
        </w:rPr>
        <w:t>12,547,829</w:t>
      </w:r>
      <w:r>
        <w:rPr>
          <w:sz w:val="20"/>
          <w:szCs w:val="20"/>
        </w:rPr>
        <w:t xml:space="preserve"> issued and outstanding shares of common stock as of the record date of June </w:t>
      </w:r>
      <w:r w:rsidR="00964940">
        <w:rPr>
          <w:sz w:val="20"/>
          <w:szCs w:val="20"/>
        </w:rPr>
        <w:t>6</w:t>
      </w:r>
      <w:r>
        <w:rPr>
          <w:sz w:val="20"/>
          <w:szCs w:val="20"/>
        </w:rPr>
        <w:t xml:space="preserve"> 202</w:t>
      </w:r>
      <w:r w:rsidR="00964940">
        <w:rPr>
          <w:sz w:val="20"/>
          <w:szCs w:val="20"/>
        </w:rPr>
        <w:t>2</w:t>
      </w:r>
      <w:r>
        <w:rPr>
          <w:sz w:val="20"/>
          <w:szCs w:val="20"/>
        </w:rPr>
        <w:t>. The stockholders voted on the following proposals and the results of the voting are presented below.</w:t>
      </w:r>
    </w:p>
    <w:p w14:paraId="0B3292A5" w14:textId="77777777" w:rsidR="00B55645" w:rsidRDefault="00B55645" w:rsidP="00B55645">
      <w:pPr>
        <w:ind w:left="144" w:right="144"/>
        <w:jc w:val="both"/>
        <w:rPr>
          <w:sz w:val="20"/>
          <w:szCs w:val="20"/>
        </w:rPr>
      </w:pPr>
    </w:p>
    <w:p w14:paraId="2E308090" w14:textId="77777777" w:rsidR="00B55645" w:rsidRDefault="00B55645" w:rsidP="00B55645">
      <w:pPr>
        <w:ind w:left="144" w:right="144"/>
        <w:jc w:val="both"/>
        <w:rPr>
          <w:b/>
          <w:sz w:val="20"/>
          <w:szCs w:val="20"/>
        </w:rPr>
      </w:pPr>
      <w:r>
        <w:rPr>
          <w:b/>
          <w:sz w:val="20"/>
          <w:szCs w:val="20"/>
        </w:rPr>
        <w:t>Election of Directors</w:t>
      </w:r>
    </w:p>
    <w:p w14:paraId="15C0DCC3" w14:textId="77777777" w:rsidR="00B55645" w:rsidRDefault="00B55645" w:rsidP="00B55645">
      <w:pPr>
        <w:ind w:left="144" w:right="144"/>
        <w:jc w:val="both"/>
        <w:rPr>
          <w:sz w:val="20"/>
          <w:szCs w:val="20"/>
        </w:rPr>
      </w:pPr>
    </w:p>
    <w:p w14:paraId="22E1E1DF" w14:textId="1B299177" w:rsidR="00B55645" w:rsidRDefault="00B55645" w:rsidP="00B55645">
      <w:pPr>
        <w:ind w:left="144" w:right="144"/>
        <w:jc w:val="both"/>
        <w:rPr>
          <w:sz w:val="20"/>
          <w:szCs w:val="20"/>
        </w:rPr>
      </w:pPr>
      <w:r>
        <w:rPr>
          <w:sz w:val="20"/>
          <w:szCs w:val="20"/>
        </w:rPr>
        <w:t xml:space="preserve">Our stockholders voted to elect the slate of directors consisting of five members to hold office </w:t>
      </w:r>
      <w:bookmarkStart w:id="0" w:name="_Hlk111187876"/>
      <w:r>
        <w:rPr>
          <w:sz w:val="20"/>
          <w:szCs w:val="20"/>
        </w:rPr>
        <w:t>until the next annual meeting of stockholders or until their successors are duly elected and qualified</w:t>
      </w:r>
      <w:bookmarkEnd w:id="0"/>
      <w:r>
        <w:rPr>
          <w:sz w:val="20"/>
          <w:szCs w:val="20"/>
        </w:rPr>
        <w:t xml:space="preserve">. There were a total of </w:t>
      </w:r>
      <w:r w:rsidR="00E439C5">
        <w:rPr>
          <w:sz w:val="20"/>
          <w:szCs w:val="20"/>
        </w:rPr>
        <w:t>4,568,027</w:t>
      </w:r>
      <w:r>
        <w:rPr>
          <w:sz w:val="20"/>
          <w:szCs w:val="20"/>
        </w:rPr>
        <w:t xml:space="preserve"> broker non-votes on this item.</w:t>
      </w:r>
    </w:p>
    <w:p w14:paraId="6FB990DD" w14:textId="77777777" w:rsidR="00964940" w:rsidRDefault="00964940" w:rsidP="00B55645">
      <w:pPr>
        <w:ind w:left="144" w:right="144"/>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304"/>
        <w:gridCol w:w="1350"/>
      </w:tblGrid>
      <w:tr w:rsidR="00B55645" w14:paraId="107B3350" w14:textId="77777777" w:rsidTr="0001439C">
        <w:tc>
          <w:tcPr>
            <w:tcW w:w="3060" w:type="dxa"/>
            <w:hideMark/>
          </w:tcPr>
          <w:p w14:paraId="4EA2EC9C" w14:textId="77777777" w:rsidR="00B55645" w:rsidRDefault="00B55645" w:rsidP="0001439C">
            <w:pPr>
              <w:ind w:left="144" w:right="144"/>
              <w:jc w:val="both"/>
              <w:rPr>
                <w:b/>
                <w:sz w:val="20"/>
                <w:szCs w:val="20"/>
                <w:u w:val="single"/>
              </w:rPr>
            </w:pPr>
            <w:r>
              <w:rPr>
                <w:b/>
                <w:sz w:val="20"/>
                <w:szCs w:val="20"/>
                <w:u w:val="single"/>
              </w:rPr>
              <w:t>Nominee</w:t>
            </w:r>
          </w:p>
        </w:tc>
        <w:tc>
          <w:tcPr>
            <w:tcW w:w="1260" w:type="dxa"/>
            <w:hideMark/>
          </w:tcPr>
          <w:p w14:paraId="5B5BEE88" w14:textId="77777777" w:rsidR="00B55645" w:rsidRDefault="00B55645" w:rsidP="0001439C">
            <w:pPr>
              <w:ind w:left="144" w:right="144"/>
              <w:jc w:val="both"/>
              <w:rPr>
                <w:b/>
                <w:sz w:val="20"/>
                <w:szCs w:val="20"/>
                <w:u w:val="single"/>
              </w:rPr>
            </w:pPr>
            <w:r>
              <w:rPr>
                <w:b/>
                <w:sz w:val="20"/>
                <w:szCs w:val="20"/>
                <w:u w:val="single"/>
              </w:rPr>
              <w:t>For</w:t>
            </w:r>
          </w:p>
        </w:tc>
        <w:tc>
          <w:tcPr>
            <w:tcW w:w="1350" w:type="dxa"/>
            <w:hideMark/>
          </w:tcPr>
          <w:p w14:paraId="70DAAF12" w14:textId="77777777" w:rsidR="00B55645" w:rsidRPr="00D60567" w:rsidRDefault="00B55645" w:rsidP="0001439C">
            <w:pPr>
              <w:ind w:left="144" w:right="144"/>
              <w:jc w:val="both"/>
              <w:rPr>
                <w:sz w:val="20"/>
                <w:szCs w:val="20"/>
                <w:u w:val="single"/>
              </w:rPr>
            </w:pPr>
            <w:r>
              <w:rPr>
                <w:b/>
                <w:sz w:val="20"/>
                <w:szCs w:val="20"/>
                <w:u w:val="single"/>
              </w:rPr>
              <w:t>Withheld</w:t>
            </w:r>
          </w:p>
        </w:tc>
      </w:tr>
      <w:tr w:rsidR="00B55645" w14:paraId="39850C3F" w14:textId="77777777" w:rsidTr="0001439C">
        <w:tc>
          <w:tcPr>
            <w:tcW w:w="3060" w:type="dxa"/>
            <w:hideMark/>
          </w:tcPr>
          <w:p w14:paraId="616C3B95" w14:textId="77777777" w:rsidR="00B55645" w:rsidRDefault="00B55645" w:rsidP="0001439C">
            <w:pPr>
              <w:ind w:left="144" w:right="144"/>
              <w:jc w:val="both"/>
              <w:rPr>
                <w:sz w:val="20"/>
                <w:szCs w:val="20"/>
              </w:rPr>
            </w:pPr>
            <w:r>
              <w:rPr>
                <w:sz w:val="20"/>
                <w:szCs w:val="20"/>
              </w:rPr>
              <w:t>Randal D. Chase, Ph.D.</w:t>
            </w:r>
          </w:p>
        </w:tc>
        <w:tc>
          <w:tcPr>
            <w:tcW w:w="1260" w:type="dxa"/>
          </w:tcPr>
          <w:p w14:paraId="1036B3D3" w14:textId="32DAD0D8" w:rsidR="00B55645" w:rsidRDefault="00E439C5" w:rsidP="0001439C">
            <w:pPr>
              <w:ind w:left="144" w:right="144"/>
              <w:jc w:val="both"/>
              <w:rPr>
                <w:sz w:val="20"/>
                <w:szCs w:val="20"/>
              </w:rPr>
            </w:pPr>
            <w:r>
              <w:rPr>
                <w:sz w:val="20"/>
                <w:szCs w:val="20"/>
              </w:rPr>
              <w:t>1,797,681</w:t>
            </w:r>
          </w:p>
        </w:tc>
        <w:tc>
          <w:tcPr>
            <w:tcW w:w="1350" w:type="dxa"/>
          </w:tcPr>
          <w:p w14:paraId="1D9D6053" w14:textId="6186F201" w:rsidR="00B55645" w:rsidRDefault="00E439C5" w:rsidP="0001439C">
            <w:pPr>
              <w:ind w:left="144" w:right="144"/>
              <w:jc w:val="both"/>
              <w:rPr>
                <w:sz w:val="20"/>
                <w:szCs w:val="20"/>
              </w:rPr>
            </w:pPr>
            <w:r>
              <w:rPr>
                <w:sz w:val="20"/>
                <w:szCs w:val="20"/>
              </w:rPr>
              <w:t>112,631</w:t>
            </w:r>
          </w:p>
        </w:tc>
      </w:tr>
      <w:tr w:rsidR="00B55645" w14:paraId="7142CB92" w14:textId="77777777" w:rsidTr="0001439C">
        <w:tc>
          <w:tcPr>
            <w:tcW w:w="3060" w:type="dxa"/>
            <w:hideMark/>
          </w:tcPr>
          <w:p w14:paraId="40339A4A" w14:textId="77777777" w:rsidR="00B55645" w:rsidRDefault="00B55645" w:rsidP="0001439C">
            <w:pPr>
              <w:ind w:left="144" w:right="144"/>
              <w:jc w:val="both"/>
              <w:rPr>
                <w:sz w:val="20"/>
                <w:szCs w:val="20"/>
              </w:rPr>
            </w:pPr>
            <w:r>
              <w:rPr>
                <w:sz w:val="20"/>
                <w:szCs w:val="20"/>
              </w:rPr>
              <w:t>David A. Dodd</w:t>
            </w:r>
          </w:p>
        </w:tc>
        <w:tc>
          <w:tcPr>
            <w:tcW w:w="1260" w:type="dxa"/>
          </w:tcPr>
          <w:p w14:paraId="16B2D4B7" w14:textId="3F0E52E8" w:rsidR="00B55645" w:rsidRDefault="00E439C5" w:rsidP="0001439C">
            <w:pPr>
              <w:ind w:left="144" w:right="144"/>
              <w:jc w:val="both"/>
              <w:rPr>
                <w:sz w:val="20"/>
                <w:szCs w:val="20"/>
              </w:rPr>
            </w:pPr>
            <w:r>
              <w:rPr>
                <w:sz w:val="20"/>
                <w:szCs w:val="20"/>
              </w:rPr>
              <w:t>1,793,416</w:t>
            </w:r>
          </w:p>
        </w:tc>
        <w:tc>
          <w:tcPr>
            <w:tcW w:w="1350" w:type="dxa"/>
          </w:tcPr>
          <w:p w14:paraId="65971D10" w14:textId="67112AD0" w:rsidR="00B55645" w:rsidRDefault="00E439C5" w:rsidP="0001439C">
            <w:pPr>
              <w:ind w:left="144" w:right="144"/>
              <w:jc w:val="both"/>
              <w:rPr>
                <w:sz w:val="20"/>
                <w:szCs w:val="20"/>
              </w:rPr>
            </w:pPr>
            <w:r>
              <w:rPr>
                <w:sz w:val="20"/>
                <w:szCs w:val="20"/>
              </w:rPr>
              <w:t>116,896</w:t>
            </w:r>
          </w:p>
        </w:tc>
      </w:tr>
      <w:tr w:rsidR="00B55645" w14:paraId="77BC8951" w14:textId="77777777" w:rsidTr="0001439C">
        <w:tc>
          <w:tcPr>
            <w:tcW w:w="3060" w:type="dxa"/>
            <w:hideMark/>
          </w:tcPr>
          <w:p w14:paraId="2A889B4C" w14:textId="77777777" w:rsidR="00B55645" w:rsidRDefault="00B55645" w:rsidP="0001439C">
            <w:pPr>
              <w:ind w:left="144" w:right="144"/>
              <w:jc w:val="both"/>
              <w:rPr>
                <w:sz w:val="20"/>
                <w:szCs w:val="20"/>
              </w:rPr>
            </w:pPr>
            <w:r>
              <w:rPr>
                <w:sz w:val="20"/>
                <w:szCs w:val="20"/>
              </w:rPr>
              <w:t>Dean G. Kollintzas</w:t>
            </w:r>
          </w:p>
        </w:tc>
        <w:tc>
          <w:tcPr>
            <w:tcW w:w="1260" w:type="dxa"/>
          </w:tcPr>
          <w:p w14:paraId="55BA84CE" w14:textId="6C0EBC39" w:rsidR="00B55645" w:rsidRDefault="00E439C5" w:rsidP="0001439C">
            <w:pPr>
              <w:ind w:left="144" w:right="144"/>
              <w:jc w:val="both"/>
              <w:rPr>
                <w:sz w:val="20"/>
                <w:szCs w:val="20"/>
              </w:rPr>
            </w:pPr>
            <w:r>
              <w:rPr>
                <w:sz w:val="20"/>
                <w:szCs w:val="20"/>
              </w:rPr>
              <w:t>1,794,179</w:t>
            </w:r>
          </w:p>
        </w:tc>
        <w:tc>
          <w:tcPr>
            <w:tcW w:w="1350" w:type="dxa"/>
          </w:tcPr>
          <w:p w14:paraId="6F85B6A3" w14:textId="7C13FD13" w:rsidR="00B55645" w:rsidRDefault="00E439C5" w:rsidP="0001439C">
            <w:pPr>
              <w:ind w:left="144" w:right="144"/>
              <w:jc w:val="both"/>
              <w:rPr>
                <w:sz w:val="20"/>
                <w:szCs w:val="20"/>
              </w:rPr>
            </w:pPr>
            <w:r>
              <w:rPr>
                <w:sz w:val="20"/>
                <w:szCs w:val="20"/>
              </w:rPr>
              <w:t>116,133</w:t>
            </w:r>
          </w:p>
        </w:tc>
      </w:tr>
      <w:tr w:rsidR="00B55645" w14:paraId="203559D1" w14:textId="77777777" w:rsidTr="0001439C">
        <w:tc>
          <w:tcPr>
            <w:tcW w:w="3060" w:type="dxa"/>
            <w:hideMark/>
          </w:tcPr>
          <w:p w14:paraId="16ECDD3E" w14:textId="77777777" w:rsidR="00B55645" w:rsidRDefault="00B55645" w:rsidP="0001439C">
            <w:pPr>
              <w:ind w:left="144" w:right="144"/>
              <w:jc w:val="both"/>
              <w:rPr>
                <w:sz w:val="20"/>
                <w:szCs w:val="20"/>
              </w:rPr>
            </w:pPr>
            <w:r>
              <w:rPr>
                <w:sz w:val="20"/>
                <w:szCs w:val="20"/>
              </w:rPr>
              <w:t>Robert T. McNally, Ph.D.</w:t>
            </w:r>
          </w:p>
        </w:tc>
        <w:tc>
          <w:tcPr>
            <w:tcW w:w="1260" w:type="dxa"/>
          </w:tcPr>
          <w:p w14:paraId="17F04DE5" w14:textId="1F2BAC1C" w:rsidR="00B55645" w:rsidRDefault="00E439C5" w:rsidP="0001439C">
            <w:pPr>
              <w:ind w:left="144" w:right="144"/>
              <w:jc w:val="both"/>
              <w:rPr>
                <w:sz w:val="20"/>
                <w:szCs w:val="20"/>
              </w:rPr>
            </w:pPr>
            <w:r>
              <w:rPr>
                <w:sz w:val="20"/>
                <w:szCs w:val="20"/>
              </w:rPr>
              <w:t>1,605,272</w:t>
            </w:r>
          </w:p>
        </w:tc>
        <w:tc>
          <w:tcPr>
            <w:tcW w:w="1350" w:type="dxa"/>
          </w:tcPr>
          <w:p w14:paraId="78E910C5" w14:textId="038134BC" w:rsidR="00B55645" w:rsidRDefault="00E439C5" w:rsidP="0001439C">
            <w:pPr>
              <w:ind w:left="144" w:right="144"/>
              <w:jc w:val="both"/>
              <w:rPr>
                <w:sz w:val="20"/>
                <w:szCs w:val="20"/>
              </w:rPr>
            </w:pPr>
            <w:r>
              <w:rPr>
                <w:sz w:val="20"/>
                <w:szCs w:val="20"/>
              </w:rPr>
              <w:t>305,040</w:t>
            </w:r>
          </w:p>
        </w:tc>
      </w:tr>
      <w:tr w:rsidR="00B55645" w14:paraId="5DBB55A8" w14:textId="77777777" w:rsidTr="0001439C">
        <w:tc>
          <w:tcPr>
            <w:tcW w:w="3060" w:type="dxa"/>
            <w:hideMark/>
          </w:tcPr>
          <w:p w14:paraId="39C37155" w14:textId="77777777" w:rsidR="00B55645" w:rsidRDefault="00B55645" w:rsidP="0001439C">
            <w:pPr>
              <w:ind w:left="144" w:right="144"/>
              <w:jc w:val="both"/>
              <w:rPr>
                <w:sz w:val="20"/>
                <w:szCs w:val="20"/>
              </w:rPr>
            </w:pPr>
            <w:r>
              <w:rPr>
                <w:sz w:val="20"/>
                <w:szCs w:val="20"/>
              </w:rPr>
              <w:t>John N. Spencer, Jr.</w:t>
            </w:r>
          </w:p>
        </w:tc>
        <w:tc>
          <w:tcPr>
            <w:tcW w:w="1260" w:type="dxa"/>
          </w:tcPr>
          <w:p w14:paraId="19DF8B85" w14:textId="39649D65" w:rsidR="00B55645" w:rsidRDefault="00E439C5" w:rsidP="0001439C">
            <w:pPr>
              <w:ind w:left="144" w:right="144"/>
              <w:jc w:val="both"/>
              <w:rPr>
                <w:sz w:val="20"/>
                <w:szCs w:val="20"/>
              </w:rPr>
            </w:pPr>
            <w:r>
              <w:rPr>
                <w:sz w:val="20"/>
                <w:szCs w:val="20"/>
              </w:rPr>
              <w:t>1,792,795</w:t>
            </w:r>
          </w:p>
        </w:tc>
        <w:tc>
          <w:tcPr>
            <w:tcW w:w="1350" w:type="dxa"/>
          </w:tcPr>
          <w:p w14:paraId="2FF8254A" w14:textId="0DAEE865" w:rsidR="00B55645" w:rsidRDefault="00E439C5" w:rsidP="0001439C">
            <w:pPr>
              <w:ind w:left="144" w:right="144"/>
              <w:jc w:val="both"/>
              <w:rPr>
                <w:sz w:val="20"/>
                <w:szCs w:val="20"/>
              </w:rPr>
            </w:pPr>
            <w:r>
              <w:rPr>
                <w:sz w:val="20"/>
                <w:szCs w:val="20"/>
              </w:rPr>
              <w:t>117,517</w:t>
            </w:r>
          </w:p>
        </w:tc>
      </w:tr>
    </w:tbl>
    <w:p w14:paraId="76D1FCB3" w14:textId="77777777" w:rsidR="00B55645" w:rsidRDefault="00B55645" w:rsidP="00B55645">
      <w:pPr>
        <w:ind w:left="144" w:right="144"/>
        <w:jc w:val="both"/>
        <w:rPr>
          <w:sz w:val="20"/>
          <w:szCs w:val="20"/>
        </w:rPr>
      </w:pPr>
    </w:p>
    <w:p w14:paraId="70D843BA" w14:textId="67648D12" w:rsidR="00B55645" w:rsidRDefault="007F4493" w:rsidP="00B55645">
      <w:pPr>
        <w:ind w:left="144" w:right="144"/>
        <w:jc w:val="both"/>
        <w:rPr>
          <w:b/>
          <w:sz w:val="20"/>
          <w:szCs w:val="20"/>
        </w:rPr>
      </w:pPr>
      <w:r>
        <w:rPr>
          <w:b/>
          <w:sz w:val="20"/>
          <w:szCs w:val="20"/>
        </w:rPr>
        <w:t>Reduction of Authorized Shares of Common Stock</w:t>
      </w:r>
    </w:p>
    <w:p w14:paraId="33AB3B92" w14:textId="77777777" w:rsidR="00B55645" w:rsidRDefault="00B55645" w:rsidP="00B55645">
      <w:pPr>
        <w:ind w:left="144" w:right="144"/>
        <w:jc w:val="both"/>
        <w:rPr>
          <w:b/>
          <w:sz w:val="20"/>
          <w:szCs w:val="20"/>
        </w:rPr>
      </w:pPr>
    </w:p>
    <w:p w14:paraId="4B191366" w14:textId="2CFEB625" w:rsidR="00B55645" w:rsidRDefault="00B55645" w:rsidP="00B55645">
      <w:pPr>
        <w:ind w:left="144" w:right="144"/>
        <w:jc w:val="both"/>
        <w:rPr>
          <w:sz w:val="20"/>
          <w:szCs w:val="20"/>
        </w:rPr>
      </w:pPr>
      <w:r>
        <w:rPr>
          <w:sz w:val="20"/>
          <w:szCs w:val="20"/>
        </w:rPr>
        <w:t xml:space="preserve">Our stockholders </w:t>
      </w:r>
      <w:r w:rsidR="00E439C5">
        <w:rPr>
          <w:sz w:val="20"/>
          <w:szCs w:val="20"/>
        </w:rPr>
        <w:t>did not approve</w:t>
      </w:r>
      <w:r>
        <w:rPr>
          <w:sz w:val="20"/>
          <w:szCs w:val="20"/>
        </w:rPr>
        <w:t xml:space="preserve"> </w:t>
      </w:r>
      <w:r w:rsidR="007F4493">
        <w:rPr>
          <w:sz w:val="20"/>
          <w:szCs w:val="20"/>
        </w:rPr>
        <w:t>allowing an amendment to our Certificate of Incorporation to reduce the number of authorized shares of common stock from 600,000,000 to 150,000,000</w:t>
      </w:r>
      <w:r>
        <w:rPr>
          <w:sz w:val="20"/>
          <w:szCs w:val="20"/>
        </w:rPr>
        <w:t>.</w:t>
      </w:r>
      <w:r w:rsidR="00E439C5">
        <w:rPr>
          <w:sz w:val="20"/>
          <w:szCs w:val="20"/>
        </w:rPr>
        <w:t xml:space="preserve">  </w:t>
      </w:r>
      <w:r w:rsidR="000D1AB8">
        <w:rPr>
          <w:sz w:val="20"/>
          <w:szCs w:val="20"/>
        </w:rPr>
        <w:t>While the votes cast in favor of this proposal exceeded the votes cast against it,</w:t>
      </w:r>
      <w:r w:rsidR="00E439C5">
        <w:rPr>
          <w:sz w:val="20"/>
          <w:szCs w:val="20"/>
        </w:rPr>
        <w:t xml:space="preserve"> the </w:t>
      </w:r>
      <w:r w:rsidR="000D1AB8">
        <w:rPr>
          <w:sz w:val="20"/>
          <w:szCs w:val="20"/>
        </w:rPr>
        <w:t>affirmative vote represented approximately 48.14% of the outstanding shares of our common stock.</w:t>
      </w:r>
      <w:r w:rsidR="000D1AB8" w:rsidRPr="000D1AB8">
        <w:rPr>
          <w:sz w:val="20"/>
          <w:szCs w:val="20"/>
        </w:rPr>
        <w:t xml:space="preserve"> </w:t>
      </w:r>
      <w:r w:rsidR="000D1AB8">
        <w:rPr>
          <w:sz w:val="20"/>
          <w:szCs w:val="20"/>
        </w:rPr>
        <w:t>Approval of this proposal required the affirmative vote of the holders of a majority of the outstanding shares and thus did not pass.</w:t>
      </w:r>
    </w:p>
    <w:p w14:paraId="76E9F61C" w14:textId="77777777" w:rsidR="00964940" w:rsidRDefault="00964940" w:rsidP="00B55645">
      <w:pPr>
        <w:ind w:left="144" w:right="144"/>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3167"/>
        <w:gridCol w:w="3167"/>
      </w:tblGrid>
      <w:tr w:rsidR="00B55645" w14:paraId="0FDCA3B2" w14:textId="77777777" w:rsidTr="0001439C">
        <w:trPr>
          <w:trHeight w:val="12"/>
        </w:trPr>
        <w:tc>
          <w:tcPr>
            <w:tcW w:w="3166" w:type="dxa"/>
            <w:hideMark/>
          </w:tcPr>
          <w:p w14:paraId="1C0A1536" w14:textId="77777777" w:rsidR="00B55645" w:rsidRDefault="00B55645" w:rsidP="0001439C">
            <w:pPr>
              <w:ind w:left="144" w:right="144"/>
              <w:jc w:val="both"/>
              <w:rPr>
                <w:b/>
                <w:sz w:val="20"/>
                <w:szCs w:val="20"/>
                <w:u w:val="single"/>
              </w:rPr>
            </w:pPr>
            <w:r>
              <w:rPr>
                <w:b/>
                <w:sz w:val="20"/>
                <w:szCs w:val="20"/>
                <w:u w:val="single"/>
              </w:rPr>
              <w:t>For</w:t>
            </w:r>
          </w:p>
        </w:tc>
        <w:tc>
          <w:tcPr>
            <w:tcW w:w="3167" w:type="dxa"/>
            <w:hideMark/>
          </w:tcPr>
          <w:p w14:paraId="49DC7456" w14:textId="77777777" w:rsidR="00B55645" w:rsidRDefault="00B55645" w:rsidP="0001439C">
            <w:pPr>
              <w:ind w:left="144" w:right="144"/>
              <w:jc w:val="both"/>
              <w:rPr>
                <w:b/>
                <w:sz w:val="20"/>
                <w:szCs w:val="20"/>
                <w:u w:val="single"/>
              </w:rPr>
            </w:pPr>
            <w:r>
              <w:rPr>
                <w:b/>
                <w:sz w:val="20"/>
                <w:szCs w:val="20"/>
                <w:u w:val="single"/>
              </w:rPr>
              <w:t>Against</w:t>
            </w:r>
          </w:p>
        </w:tc>
        <w:tc>
          <w:tcPr>
            <w:tcW w:w="3167" w:type="dxa"/>
            <w:hideMark/>
          </w:tcPr>
          <w:p w14:paraId="2967D82B" w14:textId="77777777" w:rsidR="00B55645" w:rsidRDefault="00B55645" w:rsidP="0001439C">
            <w:pPr>
              <w:ind w:left="144" w:right="144"/>
              <w:jc w:val="both"/>
              <w:rPr>
                <w:b/>
                <w:sz w:val="20"/>
                <w:szCs w:val="20"/>
                <w:u w:val="single"/>
              </w:rPr>
            </w:pPr>
            <w:r>
              <w:rPr>
                <w:b/>
                <w:sz w:val="20"/>
                <w:szCs w:val="20"/>
                <w:u w:val="single"/>
              </w:rPr>
              <w:t>Abstain</w:t>
            </w:r>
          </w:p>
        </w:tc>
      </w:tr>
      <w:tr w:rsidR="00B55645" w14:paraId="258FA795" w14:textId="77777777" w:rsidTr="0001439C">
        <w:trPr>
          <w:trHeight w:val="391"/>
        </w:trPr>
        <w:tc>
          <w:tcPr>
            <w:tcW w:w="3166" w:type="dxa"/>
          </w:tcPr>
          <w:p w14:paraId="1E808E60" w14:textId="239E8A61" w:rsidR="00B55645" w:rsidRDefault="00E439C5" w:rsidP="0001439C">
            <w:pPr>
              <w:ind w:left="144" w:right="144"/>
              <w:jc w:val="both"/>
              <w:rPr>
                <w:sz w:val="20"/>
                <w:szCs w:val="20"/>
              </w:rPr>
            </w:pPr>
            <w:r>
              <w:rPr>
                <w:sz w:val="20"/>
                <w:szCs w:val="20"/>
              </w:rPr>
              <w:t>6,041,555</w:t>
            </w:r>
          </w:p>
        </w:tc>
        <w:tc>
          <w:tcPr>
            <w:tcW w:w="3167" w:type="dxa"/>
          </w:tcPr>
          <w:p w14:paraId="44E2C0E2" w14:textId="1D18D999" w:rsidR="00B55645" w:rsidRDefault="00E439C5" w:rsidP="0001439C">
            <w:pPr>
              <w:ind w:left="144" w:right="144"/>
              <w:jc w:val="both"/>
              <w:rPr>
                <w:sz w:val="20"/>
                <w:szCs w:val="20"/>
              </w:rPr>
            </w:pPr>
            <w:r>
              <w:rPr>
                <w:sz w:val="20"/>
                <w:szCs w:val="20"/>
              </w:rPr>
              <w:t>352,169</w:t>
            </w:r>
          </w:p>
        </w:tc>
        <w:tc>
          <w:tcPr>
            <w:tcW w:w="3167" w:type="dxa"/>
          </w:tcPr>
          <w:p w14:paraId="4A0E66EE" w14:textId="51243386" w:rsidR="00B55645" w:rsidRDefault="00E439C5" w:rsidP="0001439C">
            <w:pPr>
              <w:ind w:left="144" w:right="144"/>
              <w:jc w:val="both"/>
              <w:rPr>
                <w:sz w:val="20"/>
                <w:szCs w:val="20"/>
              </w:rPr>
            </w:pPr>
            <w:r>
              <w:rPr>
                <w:sz w:val="20"/>
                <w:szCs w:val="20"/>
              </w:rPr>
              <w:t>84,615</w:t>
            </w:r>
          </w:p>
        </w:tc>
      </w:tr>
    </w:tbl>
    <w:p w14:paraId="253943BB" w14:textId="77777777" w:rsidR="00964940" w:rsidRDefault="00964940" w:rsidP="00B55645">
      <w:pPr>
        <w:ind w:left="180" w:right="144"/>
        <w:jc w:val="both"/>
        <w:rPr>
          <w:b/>
          <w:sz w:val="20"/>
          <w:szCs w:val="20"/>
        </w:rPr>
      </w:pPr>
    </w:p>
    <w:p w14:paraId="131CC0EB" w14:textId="4C5EAAF4" w:rsidR="00B55645" w:rsidRDefault="00B55645" w:rsidP="00B55645">
      <w:pPr>
        <w:ind w:left="180" w:right="144"/>
        <w:jc w:val="both"/>
        <w:rPr>
          <w:b/>
          <w:sz w:val="20"/>
          <w:szCs w:val="20"/>
        </w:rPr>
      </w:pPr>
      <w:r>
        <w:rPr>
          <w:b/>
          <w:sz w:val="20"/>
          <w:szCs w:val="20"/>
        </w:rPr>
        <w:t xml:space="preserve">Ratification of Independent </w:t>
      </w:r>
      <w:r w:rsidR="007F4493">
        <w:rPr>
          <w:b/>
          <w:sz w:val="20"/>
          <w:szCs w:val="20"/>
        </w:rPr>
        <w:t>Registered Public Accounting Firm</w:t>
      </w:r>
    </w:p>
    <w:p w14:paraId="5121BD47" w14:textId="77777777" w:rsidR="00B55645" w:rsidRDefault="00B55645" w:rsidP="00B55645">
      <w:pPr>
        <w:ind w:left="180" w:right="144"/>
        <w:jc w:val="both"/>
        <w:rPr>
          <w:sz w:val="20"/>
          <w:szCs w:val="20"/>
        </w:rPr>
      </w:pPr>
    </w:p>
    <w:p w14:paraId="166738B1" w14:textId="08937CF9" w:rsidR="00B55645" w:rsidRDefault="00B55645" w:rsidP="00B55645">
      <w:pPr>
        <w:ind w:left="180" w:right="144"/>
        <w:jc w:val="both"/>
        <w:rPr>
          <w:sz w:val="20"/>
          <w:szCs w:val="20"/>
        </w:rPr>
      </w:pPr>
      <w:r>
        <w:rPr>
          <w:sz w:val="20"/>
          <w:szCs w:val="20"/>
        </w:rPr>
        <w:t>Our stockholders approved the ratification of Wipfli LLP as our independent registered public accounting firm for the fiscal year ending December 31, 202</w:t>
      </w:r>
      <w:r w:rsidR="00964940">
        <w:rPr>
          <w:sz w:val="20"/>
          <w:szCs w:val="20"/>
        </w:rPr>
        <w:t>2</w:t>
      </w:r>
      <w:r>
        <w:rPr>
          <w:sz w:val="20"/>
          <w:szCs w:val="20"/>
        </w:rPr>
        <w:t>.</w:t>
      </w:r>
    </w:p>
    <w:p w14:paraId="1D2E060B" w14:textId="77777777" w:rsidR="00964940" w:rsidRDefault="00964940" w:rsidP="00B55645">
      <w:pPr>
        <w:ind w:left="180" w:right="144"/>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8"/>
        <w:gridCol w:w="3108"/>
      </w:tblGrid>
      <w:tr w:rsidR="00B55645" w14:paraId="7DC0C6E1" w14:textId="77777777" w:rsidTr="0001439C">
        <w:trPr>
          <w:trHeight w:val="12"/>
        </w:trPr>
        <w:tc>
          <w:tcPr>
            <w:tcW w:w="3107" w:type="dxa"/>
            <w:hideMark/>
          </w:tcPr>
          <w:p w14:paraId="10F6A75C" w14:textId="77777777" w:rsidR="00B55645" w:rsidRDefault="00B55645" w:rsidP="0001439C">
            <w:pPr>
              <w:ind w:left="144" w:right="144"/>
              <w:jc w:val="both"/>
              <w:rPr>
                <w:b/>
                <w:sz w:val="20"/>
                <w:szCs w:val="20"/>
                <w:u w:val="single"/>
              </w:rPr>
            </w:pPr>
            <w:r>
              <w:rPr>
                <w:b/>
                <w:sz w:val="20"/>
                <w:szCs w:val="20"/>
                <w:u w:val="single"/>
              </w:rPr>
              <w:t>For</w:t>
            </w:r>
          </w:p>
        </w:tc>
        <w:tc>
          <w:tcPr>
            <w:tcW w:w="3108" w:type="dxa"/>
            <w:hideMark/>
          </w:tcPr>
          <w:p w14:paraId="617F2BB8" w14:textId="77777777" w:rsidR="00B55645" w:rsidRDefault="00B55645" w:rsidP="0001439C">
            <w:pPr>
              <w:ind w:left="144" w:right="144"/>
              <w:jc w:val="both"/>
              <w:rPr>
                <w:b/>
                <w:sz w:val="20"/>
                <w:szCs w:val="20"/>
                <w:u w:val="single"/>
              </w:rPr>
            </w:pPr>
            <w:r>
              <w:rPr>
                <w:b/>
                <w:sz w:val="20"/>
                <w:szCs w:val="20"/>
                <w:u w:val="single"/>
              </w:rPr>
              <w:t>Against</w:t>
            </w:r>
          </w:p>
        </w:tc>
        <w:tc>
          <w:tcPr>
            <w:tcW w:w="3108" w:type="dxa"/>
            <w:hideMark/>
          </w:tcPr>
          <w:p w14:paraId="66BD0DA1" w14:textId="77777777" w:rsidR="00B55645" w:rsidRDefault="00B55645" w:rsidP="0001439C">
            <w:pPr>
              <w:ind w:left="144" w:right="144"/>
              <w:jc w:val="both"/>
              <w:rPr>
                <w:b/>
                <w:sz w:val="20"/>
                <w:szCs w:val="20"/>
                <w:u w:val="single"/>
              </w:rPr>
            </w:pPr>
            <w:r>
              <w:rPr>
                <w:b/>
                <w:sz w:val="20"/>
                <w:szCs w:val="20"/>
                <w:u w:val="single"/>
              </w:rPr>
              <w:t>Abstain</w:t>
            </w:r>
          </w:p>
        </w:tc>
      </w:tr>
      <w:tr w:rsidR="00B55645" w14:paraId="778F7F79" w14:textId="77777777" w:rsidTr="0001439C">
        <w:trPr>
          <w:trHeight w:val="391"/>
        </w:trPr>
        <w:tc>
          <w:tcPr>
            <w:tcW w:w="3107" w:type="dxa"/>
          </w:tcPr>
          <w:p w14:paraId="679AAD6E" w14:textId="4F05F9F2" w:rsidR="00B55645" w:rsidRDefault="00E439C5" w:rsidP="0001439C">
            <w:pPr>
              <w:ind w:left="144" w:right="144"/>
              <w:jc w:val="both"/>
              <w:rPr>
                <w:sz w:val="20"/>
                <w:szCs w:val="20"/>
              </w:rPr>
            </w:pPr>
            <w:r>
              <w:rPr>
                <w:sz w:val="20"/>
                <w:szCs w:val="20"/>
              </w:rPr>
              <w:t>6,243,394</w:t>
            </w:r>
          </w:p>
        </w:tc>
        <w:tc>
          <w:tcPr>
            <w:tcW w:w="3108" w:type="dxa"/>
          </w:tcPr>
          <w:p w14:paraId="33FC535E" w14:textId="5DF87C57" w:rsidR="00B55645" w:rsidRDefault="00E439C5" w:rsidP="0001439C">
            <w:pPr>
              <w:ind w:left="144" w:right="144"/>
              <w:jc w:val="both"/>
              <w:rPr>
                <w:sz w:val="20"/>
                <w:szCs w:val="20"/>
              </w:rPr>
            </w:pPr>
            <w:r>
              <w:rPr>
                <w:sz w:val="20"/>
                <w:szCs w:val="20"/>
              </w:rPr>
              <w:t>141,414</w:t>
            </w:r>
          </w:p>
        </w:tc>
        <w:tc>
          <w:tcPr>
            <w:tcW w:w="3108" w:type="dxa"/>
          </w:tcPr>
          <w:p w14:paraId="72170108" w14:textId="7B6BE907" w:rsidR="00B55645" w:rsidRDefault="00E439C5" w:rsidP="0001439C">
            <w:pPr>
              <w:ind w:left="144" w:right="144"/>
              <w:jc w:val="both"/>
              <w:rPr>
                <w:sz w:val="20"/>
                <w:szCs w:val="20"/>
              </w:rPr>
            </w:pPr>
            <w:r>
              <w:rPr>
                <w:sz w:val="20"/>
                <w:szCs w:val="20"/>
              </w:rPr>
              <w:t>93,561</w:t>
            </w:r>
          </w:p>
        </w:tc>
      </w:tr>
    </w:tbl>
    <w:p w14:paraId="61F9BF5C" w14:textId="6AEF9D11" w:rsidR="00C36B57" w:rsidRDefault="00C36B57" w:rsidP="007B5113">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587D9F" w14:paraId="2D4C5F1F" w14:textId="77777777" w:rsidTr="008D7E3A">
        <w:tc>
          <w:tcPr>
            <w:tcW w:w="600" w:type="pct"/>
            <w:tcMar>
              <w:top w:w="5" w:type="dxa"/>
              <w:left w:w="5" w:type="dxa"/>
              <w:bottom w:w="5" w:type="dxa"/>
              <w:right w:w="5" w:type="dxa"/>
            </w:tcMar>
          </w:tcPr>
          <w:p w14:paraId="21AF7946" w14:textId="40C001CF" w:rsidR="00587D9F" w:rsidRDefault="00587D9F" w:rsidP="00587D9F">
            <w:pPr>
              <w:ind w:left="180"/>
              <w:rPr>
                <w:sz w:val="20"/>
                <w:szCs w:val="20"/>
              </w:rPr>
            </w:pPr>
            <w:r>
              <w:rPr>
                <w:sz w:val="20"/>
                <w:szCs w:val="20"/>
              </w:rPr>
              <w:t>104</w:t>
            </w:r>
          </w:p>
        </w:tc>
        <w:tc>
          <w:tcPr>
            <w:tcW w:w="4400" w:type="pct"/>
            <w:tcMar>
              <w:top w:w="5" w:type="dxa"/>
              <w:left w:w="5" w:type="dxa"/>
              <w:bottom w:w="5" w:type="dxa"/>
              <w:right w:w="5" w:type="dxa"/>
            </w:tcMar>
          </w:tcPr>
          <w:p w14:paraId="63CC3CFB" w14:textId="2202E4C3" w:rsidR="00587D9F" w:rsidRDefault="00587D9F" w:rsidP="00587D9F">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7154307C" w14:textId="77777777" w:rsidR="00BB7014" w:rsidRDefault="00BB7014" w:rsidP="000D1AB8">
      <w:pPr>
        <w:ind w:right="144"/>
        <w:rPr>
          <w:b/>
          <w:bCs/>
          <w:sz w:val="20"/>
          <w:szCs w:val="20"/>
        </w:rPr>
      </w:pPr>
    </w:p>
    <w:p w14:paraId="637EFEC5" w14:textId="11370499"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7EEFCC7A" w:rsidR="008D7E3A" w:rsidRDefault="008D7E3A" w:rsidP="008D7E3A">
      <w:pPr>
        <w:ind w:left="144" w:right="144"/>
        <w:rPr>
          <w:sz w:val="20"/>
          <w:szCs w:val="20"/>
        </w:rPr>
      </w:pPr>
      <w:r>
        <w:rPr>
          <w:sz w:val="20"/>
          <w:szCs w:val="20"/>
        </w:rPr>
        <w:t xml:space="preserve">Date: </w:t>
      </w:r>
      <w:r w:rsidR="00B55645">
        <w:rPr>
          <w:sz w:val="20"/>
          <w:szCs w:val="20"/>
        </w:rPr>
        <w:t>September</w:t>
      </w:r>
      <w:r w:rsidR="009E2EA9">
        <w:rPr>
          <w:sz w:val="20"/>
          <w:szCs w:val="20"/>
        </w:rPr>
        <w:t xml:space="preserve"> </w:t>
      </w:r>
      <w:r w:rsidR="00B55645">
        <w:rPr>
          <w:sz w:val="20"/>
          <w:szCs w:val="20"/>
        </w:rPr>
        <w:t>1</w:t>
      </w:r>
      <w:r w:rsidR="007F74E8">
        <w:rPr>
          <w:sz w:val="20"/>
          <w:szCs w:val="20"/>
        </w:rPr>
        <w:t>, 2022</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BF88DF9" w:rsidR="008D7E3A" w:rsidRDefault="00625A77">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footerReference w:type="default" r:id="rId8"/>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CED0" w14:textId="77777777" w:rsidR="006871B2" w:rsidRDefault="006871B2" w:rsidP="004422FB">
      <w:r>
        <w:separator/>
      </w:r>
    </w:p>
  </w:endnote>
  <w:endnote w:type="continuationSeparator" w:id="0">
    <w:p w14:paraId="62E735A6" w14:textId="77777777" w:rsidR="006871B2" w:rsidRDefault="006871B2"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0965AE6D" w:rsidR="004422FB" w:rsidRDefault="00A7489D" w:rsidP="00A7489D">
    <w:pPr>
      <w:pStyle w:val="Footer"/>
      <w:jc w:val="center"/>
    </w:pPr>
    <w:r>
      <w:fldChar w:fldCharType="begin"/>
    </w:r>
    <w:r>
      <w:instrText xml:space="preserve"> PAGE   \* MERGEFORMAT </w:instrText>
    </w:r>
    <w:r>
      <w:fldChar w:fldCharType="separate"/>
    </w:r>
    <w:r w:rsidR="00F51C02">
      <w:rPr>
        <w:noProof/>
      </w:rPr>
      <w:t>4</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7D30" w14:textId="77777777" w:rsidR="006871B2" w:rsidRDefault="006871B2" w:rsidP="004422FB">
      <w:r>
        <w:separator/>
      </w:r>
    </w:p>
  </w:footnote>
  <w:footnote w:type="continuationSeparator" w:id="0">
    <w:p w14:paraId="76DB5D3B" w14:textId="77777777" w:rsidR="006871B2" w:rsidRDefault="006871B2" w:rsidP="0044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694676">
    <w:abstractNumId w:val="0"/>
  </w:num>
  <w:num w:numId="2" w16cid:durableId="141165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039E8"/>
    <w:rsid w:val="000520F7"/>
    <w:rsid w:val="000850CC"/>
    <w:rsid w:val="000871C8"/>
    <w:rsid w:val="00087359"/>
    <w:rsid w:val="000949A2"/>
    <w:rsid w:val="00096511"/>
    <w:rsid w:val="000D1AB8"/>
    <w:rsid w:val="000E6508"/>
    <w:rsid w:val="001139A5"/>
    <w:rsid w:val="0012601A"/>
    <w:rsid w:val="00134BBC"/>
    <w:rsid w:val="00172B54"/>
    <w:rsid w:val="0019489B"/>
    <w:rsid w:val="00196A86"/>
    <w:rsid w:val="001A0FE2"/>
    <w:rsid w:val="001A5BA8"/>
    <w:rsid w:val="001A687F"/>
    <w:rsid w:val="001B126A"/>
    <w:rsid w:val="001D3520"/>
    <w:rsid w:val="001E2AA8"/>
    <w:rsid w:val="002049D0"/>
    <w:rsid w:val="00246139"/>
    <w:rsid w:val="00277674"/>
    <w:rsid w:val="00296BF7"/>
    <w:rsid w:val="002A45C0"/>
    <w:rsid w:val="002B5A3E"/>
    <w:rsid w:val="002C2032"/>
    <w:rsid w:val="002C4E4A"/>
    <w:rsid w:val="002E60D1"/>
    <w:rsid w:val="00304DE8"/>
    <w:rsid w:val="00314FC4"/>
    <w:rsid w:val="00315CD1"/>
    <w:rsid w:val="00341E48"/>
    <w:rsid w:val="0034645B"/>
    <w:rsid w:val="00362F3D"/>
    <w:rsid w:val="0036369E"/>
    <w:rsid w:val="00366C53"/>
    <w:rsid w:val="00376DEC"/>
    <w:rsid w:val="0037743D"/>
    <w:rsid w:val="003B670F"/>
    <w:rsid w:val="003E36C4"/>
    <w:rsid w:val="00401F33"/>
    <w:rsid w:val="004041FE"/>
    <w:rsid w:val="00404B0F"/>
    <w:rsid w:val="00415B30"/>
    <w:rsid w:val="0043642A"/>
    <w:rsid w:val="004422FB"/>
    <w:rsid w:val="004562CE"/>
    <w:rsid w:val="00465FF3"/>
    <w:rsid w:val="004759D1"/>
    <w:rsid w:val="00494777"/>
    <w:rsid w:val="004B3179"/>
    <w:rsid w:val="004D4E0A"/>
    <w:rsid w:val="004E6CB9"/>
    <w:rsid w:val="005108D6"/>
    <w:rsid w:val="0054576E"/>
    <w:rsid w:val="00552D47"/>
    <w:rsid w:val="0055647C"/>
    <w:rsid w:val="005728DB"/>
    <w:rsid w:val="005765ED"/>
    <w:rsid w:val="00583D37"/>
    <w:rsid w:val="00587D9F"/>
    <w:rsid w:val="005A12FB"/>
    <w:rsid w:val="005B70A9"/>
    <w:rsid w:val="005F3C3F"/>
    <w:rsid w:val="00617074"/>
    <w:rsid w:val="00625A77"/>
    <w:rsid w:val="00651320"/>
    <w:rsid w:val="00652DCC"/>
    <w:rsid w:val="00654112"/>
    <w:rsid w:val="00670AD9"/>
    <w:rsid w:val="00677F25"/>
    <w:rsid w:val="006871B2"/>
    <w:rsid w:val="00691E45"/>
    <w:rsid w:val="006A30B4"/>
    <w:rsid w:val="006B4011"/>
    <w:rsid w:val="006C4831"/>
    <w:rsid w:val="006C673A"/>
    <w:rsid w:val="006E7AA3"/>
    <w:rsid w:val="006F2242"/>
    <w:rsid w:val="006F78DC"/>
    <w:rsid w:val="007150B5"/>
    <w:rsid w:val="00716A75"/>
    <w:rsid w:val="00732183"/>
    <w:rsid w:val="00734084"/>
    <w:rsid w:val="007578ED"/>
    <w:rsid w:val="00766EB9"/>
    <w:rsid w:val="00780E12"/>
    <w:rsid w:val="00797D8A"/>
    <w:rsid w:val="007B3B3E"/>
    <w:rsid w:val="007B5113"/>
    <w:rsid w:val="007C3C4A"/>
    <w:rsid w:val="007F4493"/>
    <w:rsid w:val="007F74E8"/>
    <w:rsid w:val="0082793A"/>
    <w:rsid w:val="00883B50"/>
    <w:rsid w:val="0089446A"/>
    <w:rsid w:val="008A5F28"/>
    <w:rsid w:val="008B66AE"/>
    <w:rsid w:val="008B71BC"/>
    <w:rsid w:val="008B7616"/>
    <w:rsid w:val="008C1C3D"/>
    <w:rsid w:val="008D3E76"/>
    <w:rsid w:val="008D7E3A"/>
    <w:rsid w:val="008E4E77"/>
    <w:rsid w:val="00903941"/>
    <w:rsid w:val="00922B4A"/>
    <w:rsid w:val="00964940"/>
    <w:rsid w:val="0096668D"/>
    <w:rsid w:val="009B15B2"/>
    <w:rsid w:val="009C0739"/>
    <w:rsid w:val="009E2EA9"/>
    <w:rsid w:val="009F16FD"/>
    <w:rsid w:val="009F32C7"/>
    <w:rsid w:val="009F58D1"/>
    <w:rsid w:val="009F7B30"/>
    <w:rsid w:val="00A213F5"/>
    <w:rsid w:val="00A44E68"/>
    <w:rsid w:val="00A518AC"/>
    <w:rsid w:val="00A641D3"/>
    <w:rsid w:val="00A66445"/>
    <w:rsid w:val="00A7343F"/>
    <w:rsid w:val="00A7489D"/>
    <w:rsid w:val="00A7711D"/>
    <w:rsid w:val="00A77550"/>
    <w:rsid w:val="00AA3D35"/>
    <w:rsid w:val="00AA5874"/>
    <w:rsid w:val="00B00A81"/>
    <w:rsid w:val="00B32B67"/>
    <w:rsid w:val="00B33DA4"/>
    <w:rsid w:val="00B44E7B"/>
    <w:rsid w:val="00B4616E"/>
    <w:rsid w:val="00B51502"/>
    <w:rsid w:val="00B55645"/>
    <w:rsid w:val="00B57F61"/>
    <w:rsid w:val="00B61191"/>
    <w:rsid w:val="00BA446A"/>
    <w:rsid w:val="00BB7014"/>
    <w:rsid w:val="00BC6551"/>
    <w:rsid w:val="00BE0F8F"/>
    <w:rsid w:val="00BF415F"/>
    <w:rsid w:val="00C36B57"/>
    <w:rsid w:val="00C524E3"/>
    <w:rsid w:val="00C53991"/>
    <w:rsid w:val="00C713DF"/>
    <w:rsid w:val="00C71921"/>
    <w:rsid w:val="00C815CE"/>
    <w:rsid w:val="00C86B46"/>
    <w:rsid w:val="00CB1EAA"/>
    <w:rsid w:val="00CB3D5C"/>
    <w:rsid w:val="00CC52F4"/>
    <w:rsid w:val="00CD0128"/>
    <w:rsid w:val="00CD55C2"/>
    <w:rsid w:val="00CE3919"/>
    <w:rsid w:val="00CF10FD"/>
    <w:rsid w:val="00D041E0"/>
    <w:rsid w:val="00D128D7"/>
    <w:rsid w:val="00D17971"/>
    <w:rsid w:val="00D215E7"/>
    <w:rsid w:val="00D53F6F"/>
    <w:rsid w:val="00D60567"/>
    <w:rsid w:val="00D95C48"/>
    <w:rsid w:val="00DE54BD"/>
    <w:rsid w:val="00DE728B"/>
    <w:rsid w:val="00DE7BBA"/>
    <w:rsid w:val="00DF2B44"/>
    <w:rsid w:val="00E115D3"/>
    <w:rsid w:val="00E30F6C"/>
    <w:rsid w:val="00E31534"/>
    <w:rsid w:val="00E439C5"/>
    <w:rsid w:val="00E57AE0"/>
    <w:rsid w:val="00E633E7"/>
    <w:rsid w:val="00E77BC6"/>
    <w:rsid w:val="00EB5CF9"/>
    <w:rsid w:val="00EC14ED"/>
    <w:rsid w:val="00EE3BF7"/>
    <w:rsid w:val="00EF5131"/>
    <w:rsid w:val="00F073F4"/>
    <w:rsid w:val="00F100FC"/>
    <w:rsid w:val="00F10BB8"/>
    <w:rsid w:val="00F13A9C"/>
    <w:rsid w:val="00F2058C"/>
    <w:rsid w:val="00F23A64"/>
    <w:rsid w:val="00F27385"/>
    <w:rsid w:val="00F51C02"/>
    <w:rsid w:val="00F53643"/>
    <w:rsid w:val="00F65C64"/>
    <w:rsid w:val="00F737D0"/>
    <w:rsid w:val="00F92B94"/>
    <w:rsid w:val="00F9508E"/>
    <w:rsid w:val="00F958BB"/>
    <w:rsid w:val="00FD1599"/>
    <w:rsid w:val="00FE6B26"/>
    <w:rsid w:val="00FF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 w:type="paragraph" w:styleId="Revision">
    <w:name w:val="Revision"/>
    <w:hidden/>
    <w:uiPriority w:val="99"/>
    <w:semiHidden/>
    <w:rsid w:val="006F7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058">
      <w:bodyDiv w:val="1"/>
      <w:marLeft w:val="0"/>
      <w:marRight w:val="0"/>
      <w:marTop w:val="0"/>
      <w:marBottom w:val="0"/>
      <w:divBdr>
        <w:top w:val="none" w:sz="0" w:space="0" w:color="auto"/>
        <w:left w:val="none" w:sz="0" w:space="0" w:color="auto"/>
        <w:bottom w:val="none" w:sz="0" w:space="0" w:color="auto"/>
        <w:right w:val="none" w:sz="0" w:space="0" w:color="auto"/>
      </w:divBdr>
    </w:div>
    <w:div w:id="608706091">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1295-FE61-4BFB-9688-42763902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13</cp:revision>
  <dcterms:created xsi:type="dcterms:W3CDTF">2022-07-29T18:45:00Z</dcterms:created>
  <dcterms:modified xsi:type="dcterms:W3CDTF">2022-08-31T20:14:00Z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54698183v1</vt:lpwstr>
  </property>
</Properties>
</file>