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8BC1" w14:textId="77777777" w:rsidR="00BD6BBE" w:rsidRPr="007E0AB8" w:rsidRDefault="00BD6BBE">
      <w:pPr>
        <w:pStyle w:val="Title"/>
        <w:rPr>
          <w:szCs w:val="24"/>
        </w:rPr>
      </w:pPr>
      <w:r w:rsidRPr="007E0AB8">
        <w:rPr>
          <w:szCs w:val="24"/>
        </w:rPr>
        <w:t>UNITED STATES</w:t>
      </w:r>
    </w:p>
    <w:p w14:paraId="0B224CAC" w14:textId="77777777" w:rsidR="00BD6BBE" w:rsidRPr="007E0AB8" w:rsidRDefault="00BD6BBE">
      <w:pPr>
        <w:pStyle w:val="Title"/>
        <w:rPr>
          <w:szCs w:val="24"/>
        </w:rPr>
      </w:pPr>
      <w:r w:rsidRPr="007E0AB8">
        <w:rPr>
          <w:szCs w:val="24"/>
        </w:rPr>
        <w:t>SECURITIES AND EXCHANGE COMMISSION</w:t>
      </w:r>
    </w:p>
    <w:p w14:paraId="3DE428FE" w14:textId="77777777" w:rsidR="00BD6BBE" w:rsidRPr="007E0AB8" w:rsidRDefault="00BD6BBE" w:rsidP="00361F10">
      <w:pPr>
        <w:pStyle w:val="Subtitle"/>
        <w:jc w:val="center"/>
        <w:rPr>
          <w:sz w:val="24"/>
          <w:szCs w:val="24"/>
        </w:rPr>
      </w:pPr>
      <w:r w:rsidRPr="007E0AB8">
        <w:rPr>
          <w:sz w:val="24"/>
          <w:szCs w:val="24"/>
        </w:rPr>
        <w:t>WASHINGTON,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sidR="000B7596">
        <w:rPr>
          <w:b/>
          <w:sz w:val="24"/>
        </w:rPr>
      </w:r>
      <w:r w:rsidR="000B7596">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3CC0CD9D" w:rsidR="00BD6BBE" w:rsidRPr="00F87A5B" w:rsidRDefault="00BD6BBE">
      <w:pPr>
        <w:tabs>
          <w:tab w:val="decimal" w:pos="9180"/>
        </w:tabs>
        <w:ind w:left="720" w:hanging="720"/>
        <w:rPr>
          <w:b/>
        </w:rPr>
      </w:pPr>
      <w:r w:rsidRPr="00F87A5B">
        <w:tab/>
        <w:t xml:space="preserve">For the quarterly period ended </w:t>
      </w:r>
      <w:r w:rsidR="00460775">
        <w:t>March 31</w:t>
      </w:r>
      <w:r w:rsidR="00482106">
        <w:t>,</w:t>
      </w:r>
      <w:r w:rsidR="00460775">
        <w:t xml:space="preserve"> 20</w:t>
      </w:r>
      <w:r w:rsidR="001F62EC">
        <w:t>20</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sidR="000B7596">
        <w:rPr>
          <w:b/>
          <w:sz w:val="24"/>
        </w:rPr>
      </w:r>
      <w:r w:rsidR="000B7596">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77777777" w:rsidR="00BD6BBE" w:rsidRDefault="0024386A" w:rsidP="00F87A5B">
      <w:pPr>
        <w:jc w:val="center"/>
        <w:rPr>
          <w:b/>
          <w:szCs w:val="22"/>
        </w:rPr>
      </w:pPr>
      <w:r>
        <w:rPr>
          <w:b/>
          <w:szCs w:val="22"/>
        </w:rPr>
        <w:t>Commission file number 000-52091</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7777777" w:rsidR="00BD6BBE" w:rsidRDefault="00BD6BBE">
      <w:pPr>
        <w:jc w:val="center"/>
        <w:rPr>
          <w:szCs w:val="22"/>
        </w:rPr>
      </w:pPr>
      <w:r>
        <w:rPr>
          <w:szCs w:val="22"/>
        </w:rPr>
        <w:t>(Exact name of Registrant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77777777" w:rsidR="00BD6BBE" w:rsidRPr="00F87A5B" w:rsidRDefault="00BD6BBE">
      <w:pPr>
        <w:tabs>
          <w:tab w:val="center" w:pos="2160"/>
          <w:tab w:val="center" w:pos="8100"/>
        </w:tabs>
      </w:pPr>
      <w:r w:rsidRPr="00F87A5B">
        <w:tab/>
        <w:t>(State or other jurisdiction</w:t>
      </w:r>
      <w:r w:rsidRPr="00F87A5B">
        <w:tab/>
        <w:t>(I.R.S. Employer Identification No.)</w:t>
      </w:r>
    </w:p>
    <w:p w14:paraId="53EA54C8" w14:textId="77777777" w:rsidR="00BD6BBE" w:rsidRPr="00F87A5B" w:rsidRDefault="00BD6BBE">
      <w:pPr>
        <w:tabs>
          <w:tab w:val="center" w:pos="2160"/>
          <w:tab w:val="decimal" w:pos="9180"/>
        </w:tabs>
      </w:pPr>
      <w:r w:rsidRPr="00F87A5B">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F87A5B" w:rsidRDefault="00BD6BBE">
      <w:pPr>
        <w:tabs>
          <w:tab w:val="center" w:pos="2160"/>
          <w:tab w:val="center" w:pos="8100"/>
        </w:tabs>
      </w:pPr>
      <w:r w:rsidRPr="00F87A5B">
        <w:tab/>
        <w:t>(Address of principal executive offices)</w:t>
      </w:r>
      <w:r w:rsidRPr="00F87A5B">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Default="006816F3">
      <w:pPr>
        <w:pStyle w:val="Heading5"/>
        <w:tabs>
          <w:tab w:val="clear" w:pos="2160"/>
          <w:tab w:val="clear" w:pos="7280"/>
          <w:tab w:val="clear" w:pos="9360"/>
        </w:tabs>
        <w:jc w:val="center"/>
        <w:rPr>
          <w:sz w:val="22"/>
          <w:szCs w:val="22"/>
        </w:rPr>
      </w:pPr>
      <w:r>
        <w:rPr>
          <w:sz w:val="22"/>
          <w:szCs w:val="22"/>
        </w:rPr>
        <w:t>(</w:t>
      </w:r>
      <w:r w:rsidR="00BD6BBE">
        <w:rPr>
          <w:sz w:val="22"/>
          <w:szCs w:val="22"/>
        </w:rPr>
        <w:t>Registrant</w:t>
      </w:r>
      <w:r w:rsidR="00B44A4C">
        <w:rPr>
          <w:sz w:val="22"/>
          <w:szCs w:val="22"/>
        </w:rPr>
        <w:t>’</w:t>
      </w:r>
      <w:r w:rsidR="00BD6BBE">
        <w:rPr>
          <w:sz w:val="22"/>
          <w:szCs w:val="22"/>
        </w:rPr>
        <w:t>s telephone number, including area code</w:t>
      </w:r>
      <w:r>
        <w:rPr>
          <w:b/>
          <w:sz w:val="22"/>
          <w:szCs w:val="22"/>
        </w:rPr>
        <w:t>)</w:t>
      </w:r>
    </w:p>
    <w:p w14:paraId="0E1A3266" w14:textId="42EFD0B4" w:rsidR="00BD6BBE" w:rsidRDefault="00BD6BBE">
      <w:pPr>
        <w:tabs>
          <w:tab w:val="decimal" w:pos="9180"/>
        </w:tabs>
        <w:jc w:val="both"/>
        <w:rPr>
          <w:szCs w:val="22"/>
        </w:rPr>
      </w:pPr>
    </w:p>
    <w:p w14:paraId="3D53BC33" w14:textId="2DEB0B43" w:rsidR="001F62EC" w:rsidRPr="001F62EC" w:rsidRDefault="001F62EC" w:rsidP="001F62EC">
      <w:pPr>
        <w:tabs>
          <w:tab w:val="decimal" w:pos="9180"/>
        </w:tabs>
        <w:rPr>
          <w:szCs w:val="22"/>
        </w:rPr>
      </w:pPr>
      <w:r>
        <w:rPr>
          <w:szCs w:val="22"/>
        </w:rPr>
        <w:t>Securities registered pursuant to Section 12(b) of the Act:  None</w:t>
      </w:r>
    </w:p>
    <w:p w14:paraId="3A40F902" w14:textId="77777777" w:rsidR="001F62EC" w:rsidRDefault="001F62EC">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0B7596">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0B7596">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rsidR="000B7596">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rsidR="000B7596">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Indicate by check mark whether the registrant is a large accelerated filer, an accelerated filer, a non</w:t>
      </w:r>
      <w:r>
        <w:noBreakHyphen/>
        <w:t>accelerated filer, smaller reporting company, or an emerging growth company.  See the definitions of “large accelerated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r w:rsidRPr="0072585E">
        <w:rPr>
          <w:color w:val="000000"/>
        </w:rPr>
        <w:t>Large accelerated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0B7596">
        <w:rPr>
          <w:rFonts w:ascii="Wingdings" w:hAnsi="Wingdings" w:cs="Wingdings"/>
          <w:color w:val="000000"/>
          <w:sz w:val="18"/>
          <w:szCs w:val="18"/>
        </w:rPr>
      </w:r>
      <w:r w:rsidR="000B7596">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0B7596">
        <w:rPr>
          <w:rFonts w:ascii="Wingdings" w:hAnsi="Wingdings" w:cs="Wingdings"/>
          <w:color w:val="000000"/>
          <w:sz w:val="18"/>
          <w:szCs w:val="18"/>
        </w:rPr>
      </w:r>
      <w:r w:rsidR="000B7596">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6A1064A9"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0B7596">
        <w:rPr>
          <w:rFonts w:ascii="Wingdings" w:hAnsi="Wingdings" w:cs="Wingdings"/>
          <w:color w:val="000000"/>
          <w:sz w:val="18"/>
          <w:szCs w:val="18"/>
        </w:rPr>
      </w:r>
      <w:r w:rsidR="000B7596">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0B7596">
        <w:rPr>
          <w:rFonts w:ascii="Wingdings" w:hAnsi="Wingdings" w:cs="Wingdings"/>
          <w:color w:val="000000"/>
          <w:sz w:val="18"/>
          <w:szCs w:val="18"/>
        </w:rPr>
      </w:r>
      <w:r w:rsidR="000B7596">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6E7907ED"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fldChar w:fldCharType="begin">
          <w:ffData>
            <w:name w:val="Check4"/>
            <w:enabled/>
            <w:calcOnExit w:val="0"/>
            <w:checkBox>
              <w:sizeAuto/>
              <w:default w:val="1"/>
            </w:checkBox>
          </w:ffData>
        </w:fldChar>
      </w:r>
      <w:r>
        <w:instrText xml:space="preserve"> FORMCHECKBOX </w:instrText>
      </w:r>
      <w:r w:rsidR="000B7596">
        <w:fldChar w:fldCharType="separate"/>
      </w:r>
      <w: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0B7596">
        <w:rPr>
          <w:rFonts w:ascii="Wingdings" w:hAnsi="Wingdings" w:cs="Wingdings"/>
          <w:color w:val="000000"/>
          <w:sz w:val="18"/>
          <w:szCs w:val="18"/>
        </w:rPr>
      </w:r>
      <w:r w:rsidR="000B7596">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0B7596">
        <w:rPr>
          <w:rFonts w:ascii="Wingdings" w:hAnsi="Wingdings" w:cs="Wingdings"/>
          <w:color w:val="000000"/>
          <w:sz w:val="18"/>
          <w:szCs w:val="18"/>
        </w:rPr>
      </w:r>
      <w:r w:rsidR="000B7596">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0B7596">
        <w:rPr>
          <w:rFonts w:ascii="Wingdings" w:hAnsi="Wingdings" w:cs="Wingdings"/>
          <w:color w:val="000000"/>
          <w:sz w:val="18"/>
          <w:szCs w:val="18"/>
        </w:rPr>
      </w:r>
      <w:r w:rsidR="000B7596">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439CAAFC" w:rsidR="0094630A" w:rsidRDefault="0094630A">
      <w:pPr>
        <w:tabs>
          <w:tab w:val="decimal" w:pos="9180"/>
        </w:tabs>
        <w:jc w:val="both"/>
      </w:pPr>
      <w:r w:rsidRPr="003D6A75">
        <w:t>As o</w:t>
      </w:r>
      <w:r w:rsidR="009B114A" w:rsidRPr="003D6A75">
        <w:t xml:space="preserve">f </w:t>
      </w:r>
      <w:r w:rsidR="00460775" w:rsidRPr="004A5874">
        <w:t>May</w:t>
      </w:r>
      <w:r w:rsidR="001F0568" w:rsidRPr="004A5874">
        <w:t xml:space="preserve"> </w:t>
      </w:r>
      <w:r w:rsidR="004A5874" w:rsidRPr="004A5874">
        <w:t>5</w:t>
      </w:r>
      <w:r w:rsidR="009B20E1" w:rsidRPr="004A5874">
        <w:t>,</w:t>
      </w:r>
      <w:r w:rsidR="00460775" w:rsidRPr="004A5874">
        <w:t xml:space="preserve"> 20</w:t>
      </w:r>
      <w:r w:rsidR="001F62EC" w:rsidRPr="004A5874">
        <w:t>2</w:t>
      </w:r>
      <w:r w:rsidR="001F62EC">
        <w:t>0</w:t>
      </w:r>
      <w:r w:rsidR="00F75588" w:rsidRPr="006F2532">
        <w:t>,</w:t>
      </w:r>
      <w:r w:rsidR="00B9332C" w:rsidRPr="003D6A75">
        <w:t xml:space="preserve"> </w:t>
      </w:r>
      <w:r w:rsidR="002D1A5A">
        <w:t>13,819,101</w:t>
      </w:r>
      <w:r w:rsidR="00DC3FAF" w:rsidRPr="003D6A75">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52389860" w14:textId="77777777" w:rsidR="00644156" w:rsidRPr="0058175D" w:rsidRDefault="00644156" w:rsidP="00277F5A">
      <w:pPr>
        <w:tabs>
          <w:tab w:val="center" w:pos="9900"/>
        </w:tabs>
        <w:rPr>
          <w:b/>
        </w:rPr>
      </w:pPr>
    </w:p>
    <w:p w14:paraId="603A6CC5" w14:textId="77777777" w:rsidR="00277F5A" w:rsidRPr="000371CC" w:rsidRDefault="00277F5A" w:rsidP="00912751">
      <w:pPr>
        <w:tabs>
          <w:tab w:val="center" w:pos="9900"/>
        </w:tabs>
      </w:pPr>
      <w:r w:rsidRPr="000371CC">
        <w:tab/>
      </w:r>
      <w:r w:rsidRPr="000371CC">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37C3221B" w:rsidR="00482106" w:rsidRPr="000371CC" w:rsidRDefault="00482106" w:rsidP="004E3374">
      <w:pPr>
        <w:tabs>
          <w:tab w:val="right" w:pos="10080"/>
        </w:tabs>
        <w:ind w:left="900"/>
      </w:pPr>
      <w:r>
        <w:t xml:space="preserve">Condensed </w:t>
      </w:r>
      <w:r w:rsidRPr="000371CC">
        <w:t xml:space="preserve">Consolidated Balance Sheets as of </w:t>
      </w:r>
      <w:r w:rsidR="00460775">
        <w:t>March 31</w:t>
      </w:r>
      <w:r w:rsidR="00B35C97">
        <w:t xml:space="preserve">, </w:t>
      </w:r>
      <w:r w:rsidR="00460775">
        <w:t>20</w:t>
      </w:r>
      <w:r w:rsidR="001F62EC">
        <w:t>20</w:t>
      </w:r>
      <w:r w:rsidR="00ED6B2C">
        <w:t xml:space="preserve"> (unaudited)</w:t>
      </w:r>
      <w:r w:rsidR="00D74F1F">
        <w:t xml:space="preserve"> </w:t>
      </w:r>
      <w:r w:rsidR="00460775">
        <w:t>and December 31, 201</w:t>
      </w:r>
      <w:r w:rsidR="001F62EC">
        <w:t>9</w:t>
      </w:r>
      <w:r w:rsidRPr="000371CC">
        <w:tab/>
        <w:t>1</w:t>
      </w:r>
    </w:p>
    <w:p w14:paraId="323AB257" w14:textId="5C2FAC0A"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periods </w:t>
      </w:r>
      <w:r w:rsidR="001F0568">
        <w:t>e</w:t>
      </w:r>
      <w:r w:rsidR="00A12E9E">
        <w:t>nded</w:t>
      </w:r>
    </w:p>
    <w:p w14:paraId="10D88DBF" w14:textId="7AE31BC3" w:rsidR="00482106" w:rsidRDefault="004E3374" w:rsidP="004E3374">
      <w:pPr>
        <w:tabs>
          <w:tab w:val="right" w:pos="10080"/>
        </w:tabs>
        <w:ind w:left="900"/>
      </w:pPr>
      <w:r>
        <w:t xml:space="preserve">   </w:t>
      </w:r>
      <w:r w:rsidR="00460775">
        <w:t>March</w:t>
      </w:r>
      <w:r w:rsidR="0063349C">
        <w:t xml:space="preserve"> </w:t>
      </w:r>
      <w:r w:rsidR="00460775">
        <w:t>31, 20</w:t>
      </w:r>
      <w:r w:rsidR="001F62EC">
        <w:t>20</w:t>
      </w:r>
      <w:r w:rsidR="00731C61">
        <w:t xml:space="preserve"> </w:t>
      </w:r>
      <w:r w:rsidR="00460775">
        <w:t>and 201</w:t>
      </w:r>
      <w:r w:rsidR="001F62EC">
        <w:t>9</w:t>
      </w:r>
      <w:r w:rsidR="00CC10F7">
        <w:t xml:space="preserve"> (unaudited)</w:t>
      </w:r>
      <w:r w:rsidR="00482106" w:rsidRPr="000371CC">
        <w:tab/>
      </w:r>
      <w:r w:rsidR="009E5F38">
        <w:t>2</w:t>
      </w:r>
    </w:p>
    <w:p w14:paraId="60ACCB41" w14:textId="59B126A9" w:rsidR="00487CAB" w:rsidRDefault="00487CAB" w:rsidP="004E3374">
      <w:pPr>
        <w:tabs>
          <w:tab w:val="right" w:pos="10080"/>
        </w:tabs>
        <w:ind w:left="900"/>
      </w:pPr>
      <w:r>
        <w:t>Condensed Consolidated Statements of Changes in Stockholders’ Equity (Deficiency)</w:t>
      </w:r>
    </w:p>
    <w:p w14:paraId="14FC8BBF" w14:textId="775A2909" w:rsidR="00487CAB" w:rsidRPr="000371CC" w:rsidRDefault="00487CAB" w:rsidP="004E3374">
      <w:pPr>
        <w:tabs>
          <w:tab w:val="right" w:pos="10080"/>
        </w:tabs>
        <w:ind w:left="900"/>
      </w:pPr>
      <w:r>
        <w:t xml:space="preserve">   for the three-month periods ended March 31, 20</w:t>
      </w:r>
      <w:r w:rsidR="001F62EC">
        <w:t>20</w:t>
      </w:r>
      <w:r>
        <w:t xml:space="preserve"> and 201</w:t>
      </w:r>
      <w:r w:rsidR="001F62EC">
        <w:t>9</w:t>
      </w:r>
      <w:r>
        <w:t xml:space="preserve"> (unaudited)</w:t>
      </w:r>
      <w:r>
        <w:tab/>
        <w:t>3</w:t>
      </w:r>
    </w:p>
    <w:p w14:paraId="5EC29F91" w14:textId="39820332" w:rsidR="004E3374" w:rsidRDefault="00482106" w:rsidP="004E3374">
      <w:pPr>
        <w:tabs>
          <w:tab w:val="right" w:pos="10080"/>
        </w:tabs>
        <w:ind w:left="900"/>
      </w:pPr>
      <w:r>
        <w:t xml:space="preserve">Condensed </w:t>
      </w:r>
      <w:r w:rsidRPr="000371CC">
        <w:t xml:space="preserve">Consolidated Statements of Cash Flows for the </w:t>
      </w:r>
      <w:r w:rsidR="00E74795">
        <w:t>three</w:t>
      </w:r>
      <w:r w:rsidR="00CC2136">
        <w:t>-</w:t>
      </w:r>
      <w:r w:rsidR="00F758D1">
        <w:t xml:space="preserve">month </w:t>
      </w:r>
      <w:r w:rsidR="00483E00">
        <w:t xml:space="preserve">periods </w:t>
      </w:r>
      <w:r w:rsidR="00731D11">
        <w:t>ended</w:t>
      </w:r>
    </w:p>
    <w:p w14:paraId="6B706CF1" w14:textId="35525596" w:rsidR="00482106" w:rsidRPr="000371CC" w:rsidRDefault="004E3374" w:rsidP="004E3374">
      <w:pPr>
        <w:tabs>
          <w:tab w:val="right" w:pos="10080"/>
        </w:tabs>
        <w:ind w:left="900"/>
      </w:pPr>
      <w:r>
        <w:t xml:space="preserve">   </w:t>
      </w:r>
      <w:r w:rsidR="00460775">
        <w:t>March</w:t>
      </w:r>
      <w:r w:rsidR="0063349C">
        <w:t xml:space="preserve"> </w:t>
      </w:r>
      <w:r w:rsidR="00460775">
        <w:t>31</w:t>
      </w:r>
      <w:r w:rsidR="00823D2D">
        <w:t xml:space="preserve">, </w:t>
      </w:r>
      <w:r w:rsidR="00460775">
        <w:t>20</w:t>
      </w:r>
      <w:r w:rsidR="001F62EC">
        <w:t>20</w:t>
      </w:r>
      <w:r>
        <w:t xml:space="preserve"> </w:t>
      </w:r>
      <w:r w:rsidR="00460775">
        <w:t>and 201</w:t>
      </w:r>
      <w:r w:rsidR="001F62EC">
        <w:t>9</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7FED6AB0"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487CAB">
        <w:t>10</w:t>
      </w:r>
    </w:p>
    <w:p w14:paraId="04727900" w14:textId="77777777" w:rsidR="00482106" w:rsidRDefault="00482106" w:rsidP="004E3374">
      <w:pPr>
        <w:tabs>
          <w:tab w:val="left" w:pos="900"/>
          <w:tab w:val="right" w:pos="10080"/>
        </w:tabs>
      </w:pPr>
    </w:p>
    <w:p w14:paraId="3698A973" w14:textId="6280C3F6" w:rsidR="00482106" w:rsidRPr="000371CC" w:rsidRDefault="00482106" w:rsidP="004E3374">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175A7C">
        <w:t>1</w:t>
      </w:r>
      <w:r w:rsidR="002D1A5A">
        <w:t>4</w:t>
      </w:r>
    </w:p>
    <w:p w14:paraId="19A98050" w14:textId="77777777" w:rsidR="00482106" w:rsidRPr="000371CC" w:rsidRDefault="00482106" w:rsidP="002D1A5A">
      <w:pPr>
        <w:tabs>
          <w:tab w:val="left" w:pos="900"/>
          <w:tab w:val="right" w:pos="10080"/>
        </w:tabs>
      </w:pPr>
    </w:p>
    <w:p w14:paraId="16AC473F" w14:textId="4411A9C9"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2D1A5A">
        <w:t>4</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6D9899EB"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2D1A5A">
        <w:t>5</w:t>
      </w:r>
    </w:p>
    <w:p w14:paraId="073F6D6B" w14:textId="77777777" w:rsidR="00482106" w:rsidRPr="000371CC" w:rsidRDefault="00482106" w:rsidP="004E3374">
      <w:pPr>
        <w:tabs>
          <w:tab w:val="left" w:pos="900"/>
          <w:tab w:val="right" w:pos="10200"/>
        </w:tabs>
      </w:pPr>
    </w:p>
    <w:p w14:paraId="27555486" w14:textId="7CD02099"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2D1A5A">
        <w:t>5</w:t>
      </w:r>
    </w:p>
    <w:p w14:paraId="0F986A6E" w14:textId="77777777" w:rsidR="00482106" w:rsidRPr="000371CC" w:rsidRDefault="00482106" w:rsidP="004E3374">
      <w:pPr>
        <w:tabs>
          <w:tab w:val="left" w:pos="900"/>
          <w:tab w:val="right" w:pos="10080"/>
          <w:tab w:val="right" w:pos="10200"/>
        </w:tabs>
      </w:pPr>
    </w:p>
    <w:p w14:paraId="6537B7F4" w14:textId="54F33862"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2D1A5A">
        <w:t>5</w:t>
      </w:r>
    </w:p>
    <w:p w14:paraId="2598FC1C" w14:textId="77777777" w:rsidR="00482106" w:rsidRPr="000371CC" w:rsidRDefault="00482106" w:rsidP="004E3374">
      <w:pPr>
        <w:tabs>
          <w:tab w:val="left" w:pos="900"/>
          <w:tab w:val="right" w:pos="10080"/>
          <w:tab w:val="right" w:pos="10200"/>
        </w:tabs>
      </w:pPr>
    </w:p>
    <w:p w14:paraId="790C8A4C" w14:textId="14E627AF"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2D1A5A">
        <w:t>5</w:t>
      </w:r>
    </w:p>
    <w:p w14:paraId="7122746D" w14:textId="77777777" w:rsidR="00BF7DB7" w:rsidRDefault="00BF7DB7" w:rsidP="004E3374">
      <w:pPr>
        <w:tabs>
          <w:tab w:val="left" w:pos="900"/>
          <w:tab w:val="right" w:pos="10080"/>
          <w:tab w:val="right" w:pos="10200"/>
        </w:tabs>
      </w:pPr>
    </w:p>
    <w:p w14:paraId="51D96C50" w14:textId="2D5ECB32"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2D1A5A">
        <w:t>5</w:t>
      </w:r>
    </w:p>
    <w:p w14:paraId="1D1D1680" w14:textId="77777777" w:rsidR="00482106" w:rsidRPr="000371CC" w:rsidRDefault="00482106" w:rsidP="004E3374">
      <w:pPr>
        <w:tabs>
          <w:tab w:val="left" w:pos="900"/>
          <w:tab w:val="right" w:pos="10080"/>
          <w:tab w:val="right" w:pos="10200"/>
        </w:tabs>
      </w:pPr>
    </w:p>
    <w:p w14:paraId="7FF4F361" w14:textId="051586D3"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2D1A5A">
        <w:t>5</w:t>
      </w:r>
    </w:p>
    <w:p w14:paraId="7329C9FE" w14:textId="77777777" w:rsidR="00482106" w:rsidRPr="000371CC" w:rsidRDefault="00482106" w:rsidP="004E3374">
      <w:pPr>
        <w:tabs>
          <w:tab w:val="left" w:pos="900"/>
          <w:tab w:val="right" w:pos="10080"/>
          <w:tab w:val="right" w:pos="10200"/>
        </w:tabs>
      </w:pPr>
    </w:p>
    <w:p w14:paraId="25371BEC" w14:textId="2E8BE934"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487CAB">
        <w:t>6</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487E2C5C"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487CAB">
        <w:t>7</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4" w:name="_Toc197922408"/>
      <w:r>
        <w:lastRenderedPageBreak/>
        <w:t>Part I</w:t>
      </w:r>
      <w:r w:rsidR="008C2AC9">
        <w:t xml:space="preserve"> -- </w:t>
      </w:r>
      <w:r w:rsidR="001C3695">
        <w:t>F</w:t>
      </w:r>
      <w:r w:rsidR="00277F5A" w:rsidRPr="001C3695">
        <w:t>INANCIAL INFORMATION</w:t>
      </w:r>
      <w:bookmarkEnd w:id="4"/>
    </w:p>
    <w:p w14:paraId="6A278646" w14:textId="77777777" w:rsidR="008C2AC9" w:rsidRPr="008C2AC9" w:rsidRDefault="008C2AC9" w:rsidP="008C2AC9">
      <w:bookmarkStart w:id="5"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5"/>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1F62EC" w:rsidRPr="00356734" w14:paraId="029187B1" w14:textId="77777777" w:rsidTr="001F62EC">
        <w:trPr>
          <w:cantSplit/>
          <w:trHeight w:val="230"/>
        </w:trPr>
        <w:tc>
          <w:tcPr>
            <w:tcW w:w="10080" w:type="dxa"/>
            <w:gridSpan w:val="7"/>
          </w:tcPr>
          <w:p w14:paraId="22F98412" w14:textId="77777777" w:rsidR="001F62EC" w:rsidRDefault="001F62EC" w:rsidP="001F62EC">
            <w:pPr>
              <w:pStyle w:val="Heading8"/>
              <w:rPr>
                <w:i w:val="0"/>
                <w:sz w:val="20"/>
                <w:u w:val="none"/>
              </w:rPr>
            </w:pPr>
          </w:p>
          <w:p w14:paraId="6056F212" w14:textId="40F570E9" w:rsidR="001F62EC" w:rsidRPr="00585725" w:rsidRDefault="001F62EC" w:rsidP="001F62EC">
            <w:pPr>
              <w:pStyle w:val="Heading8"/>
              <w:rPr>
                <w:i w:val="0"/>
                <w:sz w:val="20"/>
                <w:u w:val="none"/>
              </w:rPr>
            </w:pPr>
            <w:r>
              <w:rPr>
                <w:i w:val="0"/>
                <w:sz w:val="20"/>
                <w:u w:val="none"/>
              </w:rPr>
              <w:t>GEOVAX LABS, INC.</w:t>
            </w:r>
          </w:p>
        </w:tc>
      </w:tr>
      <w:tr w:rsidR="001F62EC" w:rsidRPr="00356734" w14:paraId="7758A8C7" w14:textId="77777777" w:rsidTr="001F62EC">
        <w:trPr>
          <w:cantSplit/>
          <w:trHeight w:val="230"/>
        </w:trPr>
        <w:tc>
          <w:tcPr>
            <w:tcW w:w="10080" w:type="dxa"/>
            <w:gridSpan w:val="7"/>
          </w:tcPr>
          <w:p w14:paraId="240F3B0A" w14:textId="77777777" w:rsidR="001F62EC" w:rsidRPr="00356734" w:rsidRDefault="001F62EC" w:rsidP="001F62EC">
            <w:pPr>
              <w:pStyle w:val="Heading8"/>
              <w:rPr>
                <w:i w:val="0"/>
                <w:sz w:val="20"/>
                <w:u w:val="none"/>
              </w:rPr>
            </w:pPr>
            <w:r w:rsidRPr="00356734">
              <w:rPr>
                <w:i w:val="0"/>
                <w:sz w:val="20"/>
                <w:u w:val="none"/>
              </w:rPr>
              <w:t>CONDENSED CONSOLIDATED BALANCE SHEETS</w:t>
            </w:r>
          </w:p>
        </w:tc>
      </w:tr>
      <w:tr w:rsidR="001F62EC" w:rsidRPr="00356734" w14:paraId="09D855BF" w14:textId="77777777" w:rsidTr="001F62EC">
        <w:trPr>
          <w:trHeight w:hRule="exact" w:val="230"/>
        </w:trPr>
        <w:tc>
          <w:tcPr>
            <w:tcW w:w="305" w:type="dxa"/>
          </w:tcPr>
          <w:p w14:paraId="1F4FC957" w14:textId="77777777" w:rsidR="001F62EC" w:rsidRPr="00356734" w:rsidRDefault="001F62EC" w:rsidP="001F62EC">
            <w:pPr>
              <w:jc w:val="right"/>
              <w:rPr>
                <w:snapToGrid w:val="0"/>
                <w:color w:val="000000"/>
              </w:rPr>
            </w:pPr>
          </w:p>
        </w:tc>
        <w:tc>
          <w:tcPr>
            <w:tcW w:w="302" w:type="dxa"/>
          </w:tcPr>
          <w:p w14:paraId="52EBC993" w14:textId="77777777" w:rsidR="001F62EC" w:rsidRPr="00356734" w:rsidRDefault="001F62EC" w:rsidP="001F62EC">
            <w:pPr>
              <w:jc w:val="right"/>
              <w:rPr>
                <w:snapToGrid w:val="0"/>
                <w:color w:val="000000"/>
              </w:rPr>
            </w:pPr>
          </w:p>
        </w:tc>
        <w:tc>
          <w:tcPr>
            <w:tcW w:w="5513" w:type="dxa"/>
          </w:tcPr>
          <w:p w14:paraId="3AA0E45E" w14:textId="77777777" w:rsidR="001F62EC" w:rsidRPr="00356734" w:rsidRDefault="001F62EC" w:rsidP="001F62EC">
            <w:pPr>
              <w:jc w:val="right"/>
              <w:rPr>
                <w:snapToGrid w:val="0"/>
                <w:color w:val="000000"/>
              </w:rPr>
            </w:pPr>
          </w:p>
        </w:tc>
        <w:tc>
          <w:tcPr>
            <w:tcW w:w="90" w:type="dxa"/>
          </w:tcPr>
          <w:p w14:paraId="4965CD6E" w14:textId="77777777" w:rsidR="001F62EC" w:rsidRPr="00356734" w:rsidRDefault="001F62EC" w:rsidP="001F62EC">
            <w:pPr>
              <w:jc w:val="right"/>
              <w:rPr>
                <w:snapToGrid w:val="0"/>
                <w:color w:val="000000"/>
              </w:rPr>
            </w:pPr>
          </w:p>
        </w:tc>
        <w:tc>
          <w:tcPr>
            <w:tcW w:w="3870" w:type="dxa"/>
            <w:gridSpan w:val="3"/>
          </w:tcPr>
          <w:p w14:paraId="6186C249" w14:textId="77777777" w:rsidR="001F62EC" w:rsidRPr="00356734" w:rsidRDefault="001F62EC" w:rsidP="001F62EC">
            <w:pPr>
              <w:jc w:val="center"/>
              <w:rPr>
                <w:snapToGrid w:val="0"/>
                <w:color w:val="000000"/>
              </w:rPr>
            </w:pPr>
          </w:p>
        </w:tc>
      </w:tr>
      <w:tr w:rsidR="001F62EC" w:rsidRPr="00356734" w14:paraId="14E7A362" w14:textId="77777777" w:rsidTr="001F62EC">
        <w:trPr>
          <w:trHeight w:hRule="exact" w:val="230"/>
        </w:trPr>
        <w:tc>
          <w:tcPr>
            <w:tcW w:w="305" w:type="dxa"/>
          </w:tcPr>
          <w:p w14:paraId="4B5E3117" w14:textId="77777777" w:rsidR="001F62EC" w:rsidRPr="00356734" w:rsidRDefault="001F62EC" w:rsidP="001F62EC">
            <w:pPr>
              <w:jc w:val="right"/>
              <w:rPr>
                <w:snapToGrid w:val="0"/>
                <w:color w:val="000000"/>
              </w:rPr>
            </w:pPr>
          </w:p>
        </w:tc>
        <w:tc>
          <w:tcPr>
            <w:tcW w:w="302" w:type="dxa"/>
          </w:tcPr>
          <w:p w14:paraId="778E1BBD" w14:textId="77777777" w:rsidR="001F62EC" w:rsidRPr="00356734" w:rsidRDefault="001F62EC" w:rsidP="001F62EC">
            <w:pPr>
              <w:jc w:val="right"/>
              <w:rPr>
                <w:snapToGrid w:val="0"/>
                <w:color w:val="000000"/>
              </w:rPr>
            </w:pPr>
          </w:p>
        </w:tc>
        <w:tc>
          <w:tcPr>
            <w:tcW w:w="5513" w:type="dxa"/>
          </w:tcPr>
          <w:p w14:paraId="21CB2071" w14:textId="77777777" w:rsidR="001F62EC" w:rsidRPr="00356734" w:rsidRDefault="001F62EC" w:rsidP="001F62EC">
            <w:pPr>
              <w:jc w:val="right"/>
              <w:rPr>
                <w:snapToGrid w:val="0"/>
                <w:color w:val="000000"/>
              </w:rPr>
            </w:pPr>
          </w:p>
        </w:tc>
        <w:tc>
          <w:tcPr>
            <w:tcW w:w="90" w:type="dxa"/>
          </w:tcPr>
          <w:p w14:paraId="08A84F6B" w14:textId="77777777" w:rsidR="001F62EC" w:rsidRPr="00356734" w:rsidRDefault="001F62EC" w:rsidP="001F62EC">
            <w:pPr>
              <w:jc w:val="right"/>
              <w:rPr>
                <w:snapToGrid w:val="0"/>
                <w:color w:val="000000"/>
              </w:rPr>
            </w:pPr>
          </w:p>
        </w:tc>
        <w:tc>
          <w:tcPr>
            <w:tcW w:w="1710" w:type="dxa"/>
          </w:tcPr>
          <w:p w14:paraId="3BFB7079" w14:textId="292A672E" w:rsidR="001F62EC" w:rsidRPr="00356734" w:rsidRDefault="001F62EC" w:rsidP="001F62EC">
            <w:pPr>
              <w:jc w:val="center"/>
              <w:rPr>
                <w:snapToGrid w:val="0"/>
                <w:color w:val="000000"/>
              </w:rPr>
            </w:pPr>
            <w:r>
              <w:rPr>
                <w:snapToGrid w:val="0"/>
                <w:color w:val="000000"/>
              </w:rPr>
              <w:t>March 301</w:t>
            </w:r>
          </w:p>
        </w:tc>
        <w:tc>
          <w:tcPr>
            <w:tcW w:w="270" w:type="dxa"/>
          </w:tcPr>
          <w:p w14:paraId="38169911" w14:textId="77777777" w:rsidR="001F62EC" w:rsidRPr="00356734" w:rsidRDefault="001F62EC" w:rsidP="001F62EC">
            <w:pPr>
              <w:jc w:val="right"/>
              <w:rPr>
                <w:snapToGrid w:val="0"/>
                <w:color w:val="000000"/>
              </w:rPr>
            </w:pPr>
          </w:p>
        </w:tc>
        <w:tc>
          <w:tcPr>
            <w:tcW w:w="1890" w:type="dxa"/>
          </w:tcPr>
          <w:p w14:paraId="55FAE31D" w14:textId="77777777" w:rsidR="001F62EC" w:rsidRPr="00356734" w:rsidRDefault="001F62EC" w:rsidP="001F62EC">
            <w:pPr>
              <w:jc w:val="center"/>
              <w:rPr>
                <w:snapToGrid w:val="0"/>
                <w:color w:val="000000"/>
              </w:rPr>
            </w:pPr>
            <w:r w:rsidRPr="00356734">
              <w:rPr>
                <w:snapToGrid w:val="0"/>
                <w:color w:val="000000"/>
              </w:rPr>
              <w:t>December 31,</w:t>
            </w:r>
          </w:p>
        </w:tc>
      </w:tr>
      <w:tr w:rsidR="001F62EC" w:rsidRPr="00356734" w14:paraId="6FFD79F8" w14:textId="77777777" w:rsidTr="001F62EC">
        <w:trPr>
          <w:trHeight w:hRule="exact" w:val="230"/>
        </w:trPr>
        <w:tc>
          <w:tcPr>
            <w:tcW w:w="305" w:type="dxa"/>
          </w:tcPr>
          <w:p w14:paraId="1573A3E5" w14:textId="77777777" w:rsidR="001F62EC" w:rsidRPr="00356734" w:rsidRDefault="001F62EC" w:rsidP="001F62EC">
            <w:pPr>
              <w:jc w:val="right"/>
              <w:rPr>
                <w:snapToGrid w:val="0"/>
                <w:color w:val="000000"/>
              </w:rPr>
            </w:pPr>
          </w:p>
        </w:tc>
        <w:tc>
          <w:tcPr>
            <w:tcW w:w="302" w:type="dxa"/>
          </w:tcPr>
          <w:p w14:paraId="10635200" w14:textId="77777777" w:rsidR="001F62EC" w:rsidRPr="00356734" w:rsidRDefault="001F62EC" w:rsidP="001F62EC">
            <w:pPr>
              <w:jc w:val="right"/>
              <w:rPr>
                <w:snapToGrid w:val="0"/>
                <w:color w:val="000000"/>
              </w:rPr>
            </w:pPr>
          </w:p>
        </w:tc>
        <w:tc>
          <w:tcPr>
            <w:tcW w:w="5513" w:type="dxa"/>
          </w:tcPr>
          <w:p w14:paraId="4D4D7A41" w14:textId="77777777" w:rsidR="001F62EC" w:rsidRPr="00356734" w:rsidRDefault="001F62EC" w:rsidP="001F62EC">
            <w:pPr>
              <w:jc w:val="right"/>
              <w:rPr>
                <w:snapToGrid w:val="0"/>
                <w:color w:val="000000"/>
              </w:rPr>
            </w:pPr>
          </w:p>
        </w:tc>
        <w:tc>
          <w:tcPr>
            <w:tcW w:w="90" w:type="dxa"/>
          </w:tcPr>
          <w:p w14:paraId="3057E88E" w14:textId="77777777" w:rsidR="001F62EC" w:rsidRPr="00356734" w:rsidRDefault="001F62EC" w:rsidP="001F62EC">
            <w:pPr>
              <w:jc w:val="right"/>
              <w:rPr>
                <w:snapToGrid w:val="0"/>
                <w:color w:val="000000"/>
              </w:rPr>
            </w:pPr>
          </w:p>
        </w:tc>
        <w:tc>
          <w:tcPr>
            <w:tcW w:w="1710" w:type="dxa"/>
            <w:tcBorders>
              <w:bottom w:val="single" w:sz="6" w:space="0" w:color="auto"/>
            </w:tcBorders>
          </w:tcPr>
          <w:p w14:paraId="37815A5D" w14:textId="7ECA34DD" w:rsidR="001F62EC" w:rsidRPr="00356734" w:rsidRDefault="001F62EC" w:rsidP="001F62EC">
            <w:pPr>
              <w:jc w:val="center"/>
              <w:rPr>
                <w:snapToGrid w:val="0"/>
                <w:color w:val="000000"/>
              </w:rPr>
            </w:pPr>
            <w:r>
              <w:rPr>
                <w:snapToGrid w:val="0"/>
                <w:color w:val="000000"/>
              </w:rPr>
              <w:t>2020</w:t>
            </w:r>
          </w:p>
        </w:tc>
        <w:tc>
          <w:tcPr>
            <w:tcW w:w="270" w:type="dxa"/>
          </w:tcPr>
          <w:p w14:paraId="78748643" w14:textId="77777777" w:rsidR="001F62EC" w:rsidRPr="00356734" w:rsidRDefault="001F62EC" w:rsidP="001F62EC">
            <w:pPr>
              <w:jc w:val="right"/>
              <w:rPr>
                <w:snapToGrid w:val="0"/>
                <w:color w:val="000000"/>
              </w:rPr>
            </w:pPr>
          </w:p>
        </w:tc>
        <w:tc>
          <w:tcPr>
            <w:tcW w:w="1890" w:type="dxa"/>
            <w:tcBorders>
              <w:bottom w:val="single" w:sz="6" w:space="0" w:color="auto"/>
            </w:tcBorders>
          </w:tcPr>
          <w:p w14:paraId="294FA86F" w14:textId="23560BB8" w:rsidR="001F62EC" w:rsidRPr="00356734" w:rsidRDefault="001F62EC" w:rsidP="001F62EC">
            <w:pPr>
              <w:jc w:val="center"/>
              <w:rPr>
                <w:snapToGrid w:val="0"/>
                <w:color w:val="000000"/>
              </w:rPr>
            </w:pPr>
            <w:r w:rsidRPr="00356734">
              <w:rPr>
                <w:snapToGrid w:val="0"/>
                <w:color w:val="000000"/>
              </w:rPr>
              <w:t>20</w:t>
            </w:r>
            <w:r>
              <w:rPr>
                <w:snapToGrid w:val="0"/>
                <w:color w:val="000000"/>
              </w:rPr>
              <w:t>19</w:t>
            </w:r>
          </w:p>
        </w:tc>
      </w:tr>
      <w:tr w:rsidR="001F62EC" w:rsidRPr="00EB7BF0" w14:paraId="6304AA14" w14:textId="77777777" w:rsidTr="001F62EC">
        <w:trPr>
          <w:trHeight w:hRule="exact" w:val="230"/>
        </w:trPr>
        <w:tc>
          <w:tcPr>
            <w:tcW w:w="6120" w:type="dxa"/>
            <w:gridSpan w:val="3"/>
          </w:tcPr>
          <w:p w14:paraId="6A3D2284" w14:textId="77777777" w:rsidR="001F62EC" w:rsidRPr="00EB7BF0" w:rsidRDefault="001F62EC" w:rsidP="001F62EC">
            <w:pPr>
              <w:rPr>
                <w:snapToGrid w:val="0"/>
                <w:color w:val="000000"/>
              </w:rPr>
            </w:pPr>
          </w:p>
        </w:tc>
        <w:tc>
          <w:tcPr>
            <w:tcW w:w="90" w:type="dxa"/>
          </w:tcPr>
          <w:p w14:paraId="466212DF" w14:textId="77777777" w:rsidR="001F62EC" w:rsidRPr="00EB7BF0" w:rsidRDefault="001F62EC" w:rsidP="001F62EC">
            <w:pPr>
              <w:jc w:val="right"/>
              <w:rPr>
                <w:snapToGrid w:val="0"/>
                <w:color w:val="000000"/>
              </w:rPr>
            </w:pPr>
          </w:p>
        </w:tc>
        <w:tc>
          <w:tcPr>
            <w:tcW w:w="1710" w:type="dxa"/>
          </w:tcPr>
          <w:p w14:paraId="3B7AC496" w14:textId="77777777" w:rsidR="001F62EC" w:rsidRPr="00EB7BF0" w:rsidRDefault="001F62EC" w:rsidP="001F62EC">
            <w:pPr>
              <w:jc w:val="center"/>
              <w:rPr>
                <w:snapToGrid w:val="0"/>
                <w:color w:val="000000"/>
              </w:rPr>
            </w:pPr>
            <w:r>
              <w:rPr>
                <w:snapToGrid w:val="0"/>
                <w:color w:val="000000"/>
              </w:rPr>
              <w:t>(unaudited)</w:t>
            </w:r>
          </w:p>
        </w:tc>
        <w:tc>
          <w:tcPr>
            <w:tcW w:w="270" w:type="dxa"/>
          </w:tcPr>
          <w:p w14:paraId="6FD48495" w14:textId="77777777" w:rsidR="001F62EC" w:rsidRPr="00EB7BF0" w:rsidRDefault="001F62EC" w:rsidP="001F62EC">
            <w:pPr>
              <w:jc w:val="center"/>
              <w:rPr>
                <w:snapToGrid w:val="0"/>
                <w:color w:val="000000"/>
              </w:rPr>
            </w:pPr>
          </w:p>
        </w:tc>
        <w:tc>
          <w:tcPr>
            <w:tcW w:w="1890" w:type="dxa"/>
          </w:tcPr>
          <w:p w14:paraId="46EF3D04" w14:textId="77777777" w:rsidR="001F62EC" w:rsidRPr="00EB7BF0" w:rsidRDefault="001F62EC" w:rsidP="001F62EC">
            <w:pPr>
              <w:jc w:val="center"/>
              <w:rPr>
                <w:snapToGrid w:val="0"/>
                <w:color w:val="000000"/>
              </w:rPr>
            </w:pPr>
          </w:p>
        </w:tc>
      </w:tr>
      <w:tr w:rsidR="001F62EC" w:rsidRPr="00EB7BF0" w14:paraId="042457FE" w14:textId="77777777" w:rsidTr="001F62EC">
        <w:trPr>
          <w:trHeight w:hRule="exact" w:val="230"/>
        </w:trPr>
        <w:tc>
          <w:tcPr>
            <w:tcW w:w="6120" w:type="dxa"/>
            <w:gridSpan w:val="3"/>
          </w:tcPr>
          <w:p w14:paraId="44FDA31F" w14:textId="77777777" w:rsidR="001F62EC" w:rsidRPr="00EB7BF0" w:rsidRDefault="001F62EC" w:rsidP="001F62EC">
            <w:pPr>
              <w:rPr>
                <w:snapToGrid w:val="0"/>
                <w:color w:val="000000"/>
              </w:rPr>
            </w:pPr>
            <w:r w:rsidRPr="00374FE3">
              <w:rPr>
                <w:snapToGrid w:val="0"/>
                <w:color w:val="000000"/>
              </w:rPr>
              <w:t>ASSETS</w:t>
            </w:r>
          </w:p>
        </w:tc>
        <w:tc>
          <w:tcPr>
            <w:tcW w:w="90" w:type="dxa"/>
          </w:tcPr>
          <w:p w14:paraId="5167BEA4" w14:textId="77777777" w:rsidR="001F62EC" w:rsidRPr="00EB7BF0" w:rsidRDefault="001F62EC" w:rsidP="001F62EC">
            <w:pPr>
              <w:jc w:val="right"/>
              <w:rPr>
                <w:snapToGrid w:val="0"/>
                <w:color w:val="000000"/>
              </w:rPr>
            </w:pPr>
          </w:p>
        </w:tc>
        <w:tc>
          <w:tcPr>
            <w:tcW w:w="1710" w:type="dxa"/>
          </w:tcPr>
          <w:p w14:paraId="14098661" w14:textId="77777777" w:rsidR="001F62EC" w:rsidRDefault="001F62EC" w:rsidP="001F62EC">
            <w:pPr>
              <w:jc w:val="center"/>
              <w:rPr>
                <w:snapToGrid w:val="0"/>
                <w:color w:val="000000"/>
              </w:rPr>
            </w:pPr>
          </w:p>
        </w:tc>
        <w:tc>
          <w:tcPr>
            <w:tcW w:w="270" w:type="dxa"/>
          </w:tcPr>
          <w:p w14:paraId="4C74E0D3" w14:textId="77777777" w:rsidR="001F62EC" w:rsidRPr="00EB7BF0" w:rsidRDefault="001F62EC" w:rsidP="001F62EC">
            <w:pPr>
              <w:jc w:val="center"/>
              <w:rPr>
                <w:snapToGrid w:val="0"/>
                <w:color w:val="000000"/>
              </w:rPr>
            </w:pPr>
          </w:p>
        </w:tc>
        <w:tc>
          <w:tcPr>
            <w:tcW w:w="1890" w:type="dxa"/>
          </w:tcPr>
          <w:p w14:paraId="3AE1D139" w14:textId="77777777" w:rsidR="001F62EC" w:rsidRPr="00EB7BF0" w:rsidRDefault="001F62EC" w:rsidP="001F62EC">
            <w:pPr>
              <w:jc w:val="center"/>
              <w:rPr>
                <w:snapToGrid w:val="0"/>
                <w:color w:val="000000"/>
              </w:rPr>
            </w:pPr>
          </w:p>
        </w:tc>
      </w:tr>
      <w:tr w:rsidR="001F62EC" w:rsidRPr="00EB7BF0" w14:paraId="74A8D9DC" w14:textId="77777777" w:rsidTr="001F62EC">
        <w:trPr>
          <w:trHeight w:hRule="exact" w:val="230"/>
        </w:trPr>
        <w:tc>
          <w:tcPr>
            <w:tcW w:w="6120" w:type="dxa"/>
            <w:gridSpan w:val="3"/>
          </w:tcPr>
          <w:p w14:paraId="01506E6A" w14:textId="77777777" w:rsidR="001F62EC" w:rsidRPr="00EB7BF0" w:rsidRDefault="001F62EC" w:rsidP="001F62EC">
            <w:pPr>
              <w:rPr>
                <w:snapToGrid w:val="0"/>
                <w:color w:val="000000"/>
              </w:rPr>
            </w:pPr>
            <w:r w:rsidRPr="00374FE3">
              <w:rPr>
                <w:snapToGrid w:val="0"/>
                <w:color w:val="000000"/>
              </w:rPr>
              <w:t>Current assets:</w:t>
            </w:r>
          </w:p>
        </w:tc>
        <w:tc>
          <w:tcPr>
            <w:tcW w:w="90" w:type="dxa"/>
          </w:tcPr>
          <w:p w14:paraId="05A88266" w14:textId="77777777" w:rsidR="001F62EC" w:rsidRPr="00EB7BF0" w:rsidRDefault="001F62EC" w:rsidP="001F62EC">
            <w:pPr>
              <w:jc w:val="right"/>
              <w:rPr>
                <w:snapToGrid w:val="0"/>
                <w:color w:val="000000"/>
              </w:rPr>
            </w:pPr>
          </w:p>
        </w:tc>
        <w:tc>
          <w:tcPr>
            <w:tcW w:w="1710" w:type="dxa"/>
          </w:tcPr>
          <w:p w14:paraId="2C9F24C6" w14:textId="77777777" w:rsidR="001F62EC" w:rsidRPr="00EB7BF0" w:rsidRDefault="001F62EC" w:rsidP="001F62EC">
            <w:pPr>
              <w:jc w:val="right"/>
              <w:rPr>
                <w:snapToGrid w:val="0"/>
                <w:color w:val="000000"/>
              </w:rPr>
            </w:pPr>
          </w:p>
        </w:tc>
        <w:tc>
          <w:tcPr>
            <w:tcW w:w="270" w:type="dxa"/>
          </w:tcPr>
          <w:p w14:paraId="70529B39" w14:textId="77777777" w:rsidR="001F62EC" w:rsidRPr="00EB7BF0" w:rsidRDefault="001F62EC" w:rsidP="001F62EC">
            <w:pPr>
              <w:jc w:val="right"/>
              <w:rPr>
                <w:snapToGrid w:val="0"/>
                <w:color w:val="000000"/>
              </w:rPr>
            </w:pPr>
          </w:p>
        </w:tc>
        <w:tc>
          <w:tcPr>
            <w:tcW w:w="1890" w:type="dxa"/>
          </w:tcPr>
          <w:p w14:paraId="2C19CBB6" w14:textId="77777777" w:rsidR="001F62EC" w:rsidRPr="00EB7BF0" w:rsidRDefault="001F62EC" w:rsidP="001F62EC">
            <w:pPr>
              <w:jc w:val="right"/>
              <w:rPr>
                <w:snapToGrid w:val="0"/>
                <w:color w:val="000000"/>
              </w:rPr>
            </w:pPr>
          </w:p>
        </w:tc>
      </w:tr>
      <w:tr w:rsidR="001F62EC" w:rsidRPr="00EB7BF0" w14:paraId="5599B3FE" w14:textId="77777777" w:rsidTr="001F62EC">
        <w:trPr>
          <w:trHeight w:hRule="exact" w:val="230"/>
        </w:trPr>
        <w:tc>
          <w:tcPr>
            <w:tcW w:w="305" w:type="dxa"/>
          </w:tcPr>
          <w:p w14:paraId="0CBAB779" w14:textId="77777777" w:rsidR="001F62EC" w:rsidRPr="00EB7BF0" w:rsidRDefault="001F62EC" w:rsidP="001F62EC">
            <w:pPr>
              <w:rPr>
                <w:snapToGrid w:val="0"/>
                <w:color w:val="000000"/>
              </w:rPr>
            </w:pPr>
          </w:p>
        </w:tc>
        <w:tc>
          <w:tcPr>
            <w:tcW w:w="5815" w:type="dxa"/>
            <w:gridSpan w:val="2"/>
          </w:tcPr>
          <w:p w14:paraId="721D5BD2" w14:textId="77777777" w:rsidR="001F62EC" w:rsidRPr="00EB7BF0" w:rsidRDefault="001F62EC" w:rsidP="001F62EC">
            <w:pPr>
              <w:rPr>
                <w:b/>
                <w:snapToGrid w:val="0"/>
                <w:color w:val="000000"/>
              </w:rPr>
            </w:pPr>
            <w:r w:rsidRPr="00374FE3">
              <w:rPr>
                <w:snapToGrid w:val="0"/>
                <w:color w:val="000000"/>
              </w:rPr>
              <w:t>Cash and cash equivalents</w:t>
            </w:r>
          </w:p>
        </w:tc>
        <w:tc>
          <w:tcPr>
            <w:tcW w:w="90" w:type="dxa"/>
          </w:tcPr>
          <w:p w14:paraId="6B587056" w14:textId="77777777" w:rsidR="001F62EC" w:rsidRPr="00EB7BF0" w:rsidRDefault="001F62EC" w:rsidP="001F62EC">
            <w:pPr>
              <w:jc w:val="right"/>
              <w:rPr>
                <w:snapToGrid w:val="0"/>
                <w:color w:val="000000"/>
              </w:rPr>
            </w:pPr>
          </w:p>
        </w:tc>
        <w:tc>
          <w:tcPr>
            <w:tcW w:w="1710" w:type="dxa"/>
          </w:tcPr>
          <w:p w14:paraId="3ADA868F" w14:textId="2E3A248A" w:rsidR="001F62EC" w:rsidRPr="00EB7BF0"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E53694">
              <w:rPr>
                <w:snapToGrid w:val="0"/>
                <w:color w:val="000000"/>
              </w:rPr>
              <w:t>221,807</w:t>
            </w:r>
          </w:p>
        </w:tc>
        <w:tc>
          <w:tcPr>
            <w:tcW w:w="270" w:type="dxa"/>
          </w:tcPr>
          <w:p w14:paraId="6C68E467" w14:textId="77777777" w:rsidR="001F62EC" w:rsidRPr="00EB7BF0" w:rsidRDefault="001F62EC" w:rsidP="001F62EC">
            <w:pPr>
              <w:jc w:val="right"/>
              <w:rPr>
                <w:snapToGrid w:val="0"/>
                <w:color w:val="000000"/>
              </w:rPr>
            </w:pPr>
          </w:p>
        </w:tc>
        <w:tc>
          <w:tcPr>
            <w:tcW w:w="1890" w:type="dxa"/>
          </w:tcPr>
          <w:p w14:paraId="0F0F3610" w14:textId="5B0A321D" w:rsidR="001F62EC" w:rsidRPr="00EB7BF0" w:rsidRDefault="001F62EC" w:rsidP="001F62EC">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t>283,341</w:t>
            </w:r>
          </w:p>
        </w:tc>
      </w:tr>
      <w:tr w:rsidR="001F62EC" w:rsidRPr="00EB7BF0" w14:paraId="676A53EF" w14:textId="77777777" w:rsidTr="001F62EC">
        <w:trPr>
          <w:trHeight w:hRule="exact" w:val="230"/>
        </w:trPr>
        <w:tc>
          <w:tcPr>
            <w:tcW w:w="305" w:type="dxa"/>
          </w:tcPr>
          <w:p w14:paraId="049AE940" w14:textId="77777777" w:rsidR="001F62EC" w:rsidRPr="00EB7BF0" w:rsidRDefault="001F62EC" w:rsidP="001F62EC">
            <w:pPr>
              <w:jc w:val="right"/>
              <w:rPr>
                <w:snapToGrid w:val="0"/>
                <w:color w:val="000000"/>
              </w:rPr>
            </w:pPr>
          </w:p>
        </w:tc>
        <w:tc>
          <w:tcPr>
            <w:tcW w:w="5815" w:type="dxa"/>
            <w:gridSpan w:val="2"/>
          </w:tcPr>
          <w:p w14:paraId="45F2E4C9" w14:textId="77777777" w:rsidR="001F62EC" w:rsidRPr="00EB7BF0" w:rsidRDefault="001F62EC" w:rsidP="001F62EC">
            <w:pPr>
              <w:rPr>
                <w:snapToGrid w:val="0"/>
                <w:color w:val="000000"/>
              </w:rPr>
            </w:pPr>
            <w:r w:rsidRPr="00374FE3">
              <w:rPr>
                <w:snapToGrid w:val="0"/>
                <w:color w:val="000000"/>
              </w:rPr>
              <w:t>Grant funds and other receivables</w:t>
            </w:r>
          </w:p>
        </w:tc>
        <w:tc>
          <w:tcPr>
            <w:tcW w:w="90" w:type="dxa"/>
          </w:tcPr>
          <w:p w14:paraId="123FD720" w14:textId="77777777" w:rsidR="001F62EC" w:rsidRPr="00EB7BF0" w:rsidRDefault="001F62EC" w:rsidP="001F62EC">
            <w:pPr>
              <w:jc w:val="right"/>
              <w:rPr>
                <w:snapToGrid w:val="0"/>
                <w:color w:val="000000"/>
              </w:rPr>
            </w:pPr>
          </w:p>
        </w:tc>
        <w:tc>
          <w:tcPr>
            <w:tcW w:w="1710" w:type="dxa"/>
          </w:tcPr>
          <w:p w14:paraId="362CB3E1" w14:textId="50822E2B" w:rsidR="001F62EC" w:rsidRPr="00EB7BF0" w:rsidRDefault="00E53694" w:rsidP="001F62EC">
            <w:pPr>
              <w:tabs>
                <w:tab w:val="decimal" w:pos="1320"/>
              </w:tabs>
              <w:rPr>
                <w:snapToGrid w:val="0"/>
                <w:color w:val="000000"/>
              </w:rPr>
            </w:pPr>
            <w:r>
              <w:rPr>
                <w:snapToGrid w:val="0"/>
                <w:color w:val="000000"/>
              </w:rPr>
              <w:t>520,509</w:t>
            </w:r>
          </w:p>
        </w:tc>
        <w:tc>
          <w:tcPr>
            <w:tcW w:w="270" w:type="dxa"/>
          </w:tcPr>
          <w:p w14:paraId="6BFD7CA0" w14:textId="77777777" w:rsidR="001F62EC" w:rsidRPr="00EB7BF0" w:rsidRDefault="001F62EC" w:rsidP="001F62EC">
            <w:pPr>
              <w:jc w:val="right"/>
              <w:rPr>
                <w:snapToGrid w:val="0"/>
                <w:color w:val="000000"/>
              </w:rPr>
            </w:pPr>
          </w:p>
        </w:tc>
        <w:tc>
          <w:tcPr>
            <w:tcW w:w="1890" w:type="dxa"/>
          </w:tcPr>
          <w:p w14:paraId="76A307AC" w14:textId="3E07B421" w:rsidR="001F62EC" w:rsidRPr="00EB7BF0" w:rsidRDefault="001F62EC" w:rsidP="001F62EC">
            <w:pPr>
              <w:tabs>
                <w:tab w:val="decimal" w:pos="1500"/>
              </w:tabs>
              <w:rPr>
                <w:snapToGrid w:val="0"/>
                <w:color w:val="000000"/>
              </w:rPr>
            </w:pPr>
            <w:r>
              <w:rPr>
                <w:snapToGrid w:val="0"/>
                <w:color w:val="000000"/>
              </w:rPr>
              <w:t>68</w:t>
            </w:r>
            <w:r w:rsidR="00011002">
              <w:rPr>
                <w:snapToGrid w:val="0"/>
                <w:color w:val="000000"/>
              </w:rPr>
              <w:t>,603</w:t>
            </w:r>
          </w:p>
        </w:tc>
      </w:tr>
      <w:tr w:rsidR="001F62EC" w:rsidRPr="00EB7BF0" w14:paraId="73C934B0" w14:textId="77777777" w:rsidTr="001F62EC">
        <w:trPr>
          <w:trHeight w:hRule="exact" w:val="230"/>
        </w:trPr>
        <w:tc>
          <w:tcPr>
            <w:tcW w:w="305" w:type="dxa"/>
          </w:tcPr>
          <w:p w14:paraId="7522DACD" w14:textId="4D8E286A" w:rsidR="001F62EC" w:rsidRPr="00EB7BF0" w:rsidRDefault="001F62EC" w:rsidP="001F62EC">
            <w:pPr>
              <w:jc w:val="right"/>
              <w:rPr>
                <w:snapToGrid w:val="0"/>
                <w:color w:val="000000"/>
              </w:rPr>
            </w:pPr>
          </w:p>
        </w:tc>
        <w:tc>
          <w:tcPr>
            <w:tcW w:w="5815" w:type="dxa"/>
            <w:gridSpan w:val="2"/>
          </w:tcPr>
          <w:p w14:paraId="5530E8A7" w14:textId="77777777" w:rsidR="001F62EC" w:rsidRPr="00EB7BF0" w:rsidRDefault="001F62EC" w:rsidP="001F62EC">
            <w:pPr>
              <w:rPr>
                <w:b/>
                <w:snapToGrid w:val="0"/>
                <w:color w:val="000000"/>
              </w:rPr>
            </w:pPr>
            <w:r w:rsidRPr="00374FE3">
              <w:rPr>
                <w:snapToGrid w:val="0"/>
                <w:color w:val="000000"/>
              </w:rPr>
              <w:t>Prepaid expenses and other current assets</w:t>
            </w:r>
          </w:p>
        </w:tc>
        <w:tc>
          <w:tcPr>
            <w:tcW w:w="90" w:type="dxa"/>
          </w:tcPr>
          <w:p w14:paraId="505A2403" w14:textId="77777777" w:rsidR="001F62EC" w:rsidRPr="00EB7BF0" w:rsidRDefault="001F62EC" w:rsidP="001F62EC">
            <w:pPr>
              <w:jc w:val="right"/>
              <w:rPr>
                <w:snapToGrid w:val="0"/>
                <w:color w:val="000000"/>
              </w:rPr>
            </w:pPr>
          </w:p>
        </w:tc>
        <w:tc>
          <w:tcPr>
            <w:tcW w:w="1710" w:type="dxa"/>
            <w:tcBorders>
              <w:bottom w:val="single" w:sz="4" w:space="0" w:color="auto"/>
            </w:tcBorders>
          </w:tcPr>
          <w:p w14:paraId="2D245CA9" w14:textId="53933BF9" w:rsidR="001F62EC" w:rsidRPr="00EB7BF0" w:rsidRDefault="00E53694" w:rsidP="001F62EC">
            <w:pPr>
              <w:tabs>
                <w:tab w:val="decimal" w:pos="1320"/>
              </w:tabs>
              <w:rPr>
                <w:snapToGrid w:val="0"/>
                <w:color w:val="000000"/>
              </w:rPr>
            </w:pPr>
            <w:r>
              <w:rPr>
                <w:snapToGrid w:val="0"/>
                <w:color w:val="000000"/>
              </w:rPr>
              <w:t>67,895</w:t>
            </w:r>
          </w:p>
        </w:tc>
        <w:tc>
          <w:tcPr>
            <w:tcW w:w="270" w:type="dxa"/>
          </w:tcPr>
          <w:p w14:paraId="67038381" w14:textId="77777777" w:rsidR="001F62EC" w:rsidRPr="00EB7BF0" w:rsidRDefault="001F62EC" w:rsidP="001F62EC">
            <w:pPr>
              <w:jc w:val="right"/>
              <w:rPr>
                <w:snapToGrid w:val="0"/>
                <w:color w:val="000000"/>
              </w:rPr>
            </w:pPr>
          </w:p>
        </w:tc>
        <w:tc>
          <w:tcPr>
            <w:tcW w:w="1890" w:type="dxa"/>
            <w:tcBorders>
              <w:bottom w:val="single" w:sz="4" w:space="0" w:color="auto"/>
            </w:tcBorders>
          </w:tcPr>
          <w:p w14:paraId="0CD8C9FA" w14:textId="2442BDEB" w:rsidR="001F62EC" w:rsidRPr="00EB7BF0" w:rsidRDefault="00011002" w:rsidP="001F62EC">
            <w:pPr>
              <w:tabs>
                <w:tab w:val="decimal" w:pos="1500"/>
              </w:tabs>
              <w:rPr>
                <w:snapToGrid w:val="0"/>
                <w:color w:val="000000"/>
              </w:rPr>
            </w:pPr>
            <w:r>
              <w:rPr>
                <w:snapToGrid w:val="0"/>
                <w:color w:val="000000"/>
              </w:rPr>
              <w:t>95,320</w:t>
            </w:r>
          </w:p>
        </w:tc>
      </w:tr>
      <w:tr w:rsidR="001F62EC" w:rsidRPr="00EB7BF0" w14:paraId="3E7A2087" w14:textId="77777777" w:rsidTr="001F62EC">
        <w:trPr>
          <w:trHeight w:hRule="exact" w:val="230"/>
        </w:trPr>
        <w:tc>
          <w:tcPr>
            <w:tcW w:w="6120" w:type="dxa"/>
            <w:gridSpan w:val="3"/>
          </w:tcPr>
          <w:p w14:paraId="08F73EF9" w14:textId="77777777" w:rsidR="001F62EC" w:rsidRPr="00E74795" w:rsidRDefault="001F62EC" w:rsidP="001F62EC">
            <w:pPr>
              <w:rPr>
                <w:snapToGrid w:val="0"/>
                <w:color w:val="000000"/>
              </w:rPr>
            </w:pPr>
            <w:r w:rsidRPr="00374FE3">
              <w:rPr>
                <w:snapToGrid w:val="0"/>
                <w:color w:val="000000"/>
              </w:rPr>
              <w:t>Total current assets</w:t>
            </w:r>
          </w:p>
        </w:tc>
        <w:tc>
          <w:tcPr>
            <w:tcW w:w="90" w:type="dxa"/>
          </w:tcPr>
          <w:p w14:paraId="103793D4" w14:textId="77777777" w:rsidR="001F62EC" w:rsidRPr="00E74795" w:rsidRDefault="001F62EC" w:rsidP="001F62EC">
            <w:pPr>
              <w:jc w:val="right"/>
              <w:rPr>
                <w:snapToGrid w:val="0"/>
                <w:color w:val="000000"/>
              </w:rPr>
            </w:pPr>
          </w:p>
        </w:tc>
        <w:tc>
          <w:tcPr>
            <w:tcW w:w="1710" w:type="dxa"/>
            <w:tcBorders>
              <w:top w:val="single" w:sz="4" w:space="0" w:color="auto"/>
            </w:tcBorders>
          </w:tcPr>
          <w:p w14:paraId="3F2ED66D" w14:textId="173BB486" w:rsidR="001F62EC" w:rsidRPr="00E74795" w:rsidRDefault="00E53694" w:rsidP="001F62EC">
            <w:pPr>
              <w:tabs>
                <w:tab w:val="decimal" w:pos="1320"/>
              </w:tabs>
              <w:rPr>
                <w:snapToGrid w:val="0"/>
                <w:color w:val="000000"/>
              </w:rPr>
            </w:pPr>
            <w:r>
              <w:rPr>
                <w:snapToGrid w:val="0"/>
                <w:color w:val="000000"/>
              </w:rPr>
              <w:t>810,2</w:t>
            </w:r>
            <w:r w:rsidR="0065681E">
              <w:rPr>
                <w:snapToGrid w:val="0"/>
                <w:color w:val="000000"/>
              </w:rPr>
              <w:t>1</w:t>
            </w:r>
            <w:r>
              <w:rPr>
                <w:snapToGrid w:val="0"/>
                <w:color w:val="000000"/>
              </w:rPr>
              <w:t>1</w:t>
            </w:r>
          </w:p>
        </w:tc>
        <w:tc>
          <w:tcPr>
            <w:tcW w:w="270" w:type="dxa"/>
          </w:tcPr>
          <w:p w14:paraId="02E4E619" w14:textId="77777777" w:rsidR="001F62EC" w:rsidRPr="00E74795" w:rsidRDefault="001F62EC" w:rsidP="001F62EC">
            <w:pPr>
              <w:jc w:val="center"/>
              <w:rPr>
                <w:snapToGrid w:val="0"/>
                <w:color w:val="000000"/>
              </w:rPr>
            </w:pPr>
          </w:p>
        </w:tc>
        <w:tc>
          <w:tcPr>
            <w:tcW w:w="1890" w:type="dxa"/>
            <w:tcBorders>
              <w:top w:val="single" w:sz="4" w:space="0" w:color="auto"/>
            </w:tcBorders>
          </w:tcPr>
          <w:p w14:paraId="225C0009" w14:textId="4E9A1660" w:rsidR="001F62EC" w:rsidRPr="00E74795" w:rsidRDefault="00011002" w:rsidP="001F62EC">
            <w:pPr>
              <w:tabs>
                <w:tab w:val="decimal" w:pos="1500"/>
              </w:tabs>
              <w:rPr>
                <w:snapToGrid w:val="0"/>
                <w:color w:val="000000"/>
              </w:rPr>
            </w:pPr>
            <w:r>
              <w:rPr>
                <w:snapToGrid w:val="0"/>
                <w:color w:val="000000"/>
              </w:rPr>
              <w:t>447,264</w:t>
            </w:r>
          </w:p>
        </w:tc>
      </w:tr>
      <w:tr w:rsidR="001F62EC" w:rsidRPr="00EB7BF0" w14:paraId="71A35CD8" w14:textId="77777777" w:rsidTr="001F62EC">
        <w:trPr>
          <w:trHeight w:hRule="exact" w:val="230"/>
        </w:trPr>
        <w:tc>
          <w:tcPr>
            <w:tcW w:w="6120" w:type="dxa"/>
            <w:gridSpan w:val="3"/>
          </w:tcPr>
          <w:p w14:paraId="6E3EC1EB" w14:textId="77777777" w:rsidR="001F62EC" w:rsidRPr="00E74795" w:rsidRDefault="001F62EC" w:rsidP="001F62EC">
            <w:pPr>
              <w:rPr>
                <w:b/>
                <w:snapToGrid w:val="0"/>
                <w:color w:val="000000"/>
              </w:rPr>
            </w:pPr>
            <w:r w:rsidRPr="00374FE3">
              <w:rPr>
                <w:snapToGrid w:val="0"/>
                <w:color w:val="000000"/>
              </w:rPr>
              <w:t xml:space="preserve">Property and equipment, net (Note </w:t>
            </w:r>
            <w:r>
              <w:rPr>
                <w:snapToGrid w:val="0"/>
                <w:color w:val="000000"/>
              </w:rPr>
              <w:t>5</w:t>
            </w:r>
            <w:r w:rsidRPr="00374FE3">
              <w:rPr>
                <w:snapToGrid w:val="0"/>
                <w:color w:val="000000"/>
              </w:rPr>
              <w:t>)</w:t>
            </w:r>
          </w:p>
        </w:tc>
        <w:tc>
          <w:tcPr>
            <w:tcW w:w="90" w:type="dxa"/>
          </w:tcPr>
          <w:p w14:paraId="78A23D44" w14:textId="77777777" w:rsidR="001F62EC" w:rsidRPr="00E74795" w:rsidRDefault="001F62EC" w:rsidP="001F62EC">
            <w:pPr>
              <w:jc w:val="right"/>
              <w:rPr>
                <w:snapToGrid w:val="0"/>
                <w:color w:val="000000"/>
              </w:rPr>
            </w:pPr>
          </w:p>
        </w:tc>
        <w:tc>
          <w:tcPr>
            <w:tcW w:w="1710" w:type="dxa"/>
          </w:tcPr>
          <w:p w14:paraId="0315654C" w14:textId="2ECAB824" w:rsidR="001F62EC" w:rsidRPr="00E74795" w:rsidRDefault="00E53694" w:rsidP="001F62EC">
            <w:pPr>
              <w:tabs>
                <w:tab w:val="decimal" w:pos="1320"/>
              </w:tabs>
              <w:rPr>
                <w:snapToGrid w:val="0"/>
                <w:color w:val="000000"/>
              </w:rPr>
            </w:pPr>
            <w:r>
              <w:rPr>
                <w:snapToGrid w:val="0"/>
                <w:color w:val="000000"/>
              </w:rPr>
              <w:t>9,612</w:t>
            </w:r>
          </w:p>
        </w:tc>
        <w:tc>
          <w:tcPr>
            <w:tcW w:w="270" w:type="dxa"/>
          </w:tcPr>
          <w:p w14:paraId="66DBD75E" w14:textId="77777777" w:rsidR="001F62EC" w:rsidRPr="00E74795" w:rsidRDefault="001F62EC" w:rsidP="001F62EC">
            <w:pPr>
              <w:jc w:val="right"/>
              <w:rPr>
                <w:snapToGrid w:val="0"/>
                <w:color w:val="000000"/>
              </w:rPr>
            </w:pPr>
          </w:p>
        </w:tc>
        <w:tc>
          <w:tcPr>
            <w:tcW w:w="1890" w:type="dxa"/>
          </w:tcPr>
          <w:p w14:paraId="1AE22B49" w14:textId="08CDC87E" w:rsidR="001F62EC" w:rsidRPr="00E74795" w:rsidRDefault="001F62EC" w:rsidP="001F62EC">
            <w:pPr>
              <w:tabs>
                <w:tab w:val="decimal" w:pos="1500"/>
              </w:tabs>
              <w:rPr>
                <w:snapToGrid w:val="0"/>
                <w:color w:val="000000"/>
              </w:rPr>
            </w:pPr>
            <w:r>
              <w:rPr>
                <w:snapToGrid w:val="0"/>
                <w:color w:val="000000"/>
              </w:rPr>
              <w:t>1</w:t>
            </w:r>
            <w:r w:rsidR="00011002">
              <w:rPr>
                <w:snapToGrid w:val="0"/>
                <w:color w:val="000000"/>
              </w:rPr>
              <w:t>0,606</w:t>
            </w:r>
          </w:p>
        </w:tc>
      </w:tr>
      <w:tr w:rsidR="001F62EC" w:rsidRPr="00EB7BF0" w14:paraId="53468FCE" w14:textId="77777777" w:rsidTr="001F62EC">
        <w:trPr>
          <w:trHeight w:hRule="exact" w:val="230"/>
        </w:trPr>
        <w:tc>
          <w:tcPr>
            <w:tcW w:w="6120" w:type="dxa"/>
            <w:gridSpan w:val="3"/>
          </w:tcPr>
          <w:p w14:paraId="232DB5B1" w14:textId="77777777" w:rsidR="001F62EC" w:rsidRPr="00E74795" w:rsidRDefault="001F62EC" w:rsidP="001F62EC">
            <w:pPr>
              <w:rPr>
                <w:snapToGrid w:val="0"/>
                <w:color w:val="000000"/>
              </w:rPr>
            </w:pPr>
            <w:r w:rsidRPr="00374FE3">
              <w:rPr>
                <w:snapToGrid w:val="0"/>
                <w:color w:val="000000"/>
              </w:rPr>
              <w:t>Deposits</w:t>
            </w:r>
          </w:p>
        </w:tc>
        <w:tc>
          <w:tcPr>
            <w:tcW w:w="90" w:type="dxa"/>
          </w:tcPr>
          <w:p w14:paraId="2BA01E72" w14:textId="77777777" w:rsidR="001F62EC" w:rsidRPr="00E74795" w:rsidRDefault="001F62EC" w:rsidP="001F62EC">
            <w:pPr>
              <w:jc w:val="right"/>
              <w:rPr>
                <w:snapToGrid w:val="0"/>
                <w:color w:val="000000"/>
              </w:rPr>
            </w:pPr>
          </w:p>
        </w:tc>
        <w:tc>
          <w:tcPr>
            <w:tcW w:w="1710" w:type="dxa"/>
          </w:tcPr>
          <w:p w14:paraId="38BCB868" w14:textId="697F6C4A" w:rsidR="001F62EC" w:rsidRPr="00E74795" w:rsidRDefault="00E53694" w:rsidP="001F62EC">
            <w:pPr>
              <w:tabs>
                <w:tab w:val="decimal" w:pos="1320"/>
              </w:tabs>
              <w:rPr>
                <w:snapToGrid w:val="0"/>
                <w:color w:val="000000"/>
              </w:rPr>
            </w:pPr>
            <w:r>
              <w:rPr>
                <w:snapToGrid w:val="0"/>
                <w:color w:val="000000"/>
              </w:rPr>
              <w:t>11,010</w:t>
            </w:r>
          </w:p>
        </w:tc>
        <w:tc>
          <w:tcPr>
            <w:tcW w:w="270" w:type="dxa"/>
          </w:tcPr>
          <w:p w14:paraId="3AFB4214" w14:textId="77777777" w:rsidR="001F62EC" w:rsidRPr="00E74795" w:rsidRDefault="001F62EC" w:rsidP="001F62EC">
            <w:pPr>
              <w:jc w:val="right"/>
              <w:rPr>
                <w:snapToGrid w:val="0"/>
                <w:color w:val="000000"/>
              </w:rPr>
            </w:pPr>
          </w:p>
        </w:tc>
        <w:tc>
          <w:tcPr>
            <w:tcW w:w="1890" w:type="dxa"/>
          </w:tcPr>
          <w:p w14:paraId="5422BA01" w14:textId="77777777" w:rsidR="001F62EC" w:rsidRPr="00E74795" w:rsidRDefault="001F62EC" w:rsidP="001F62EC">
            <w:pPr>
              <w:tabs>
                <w:tab w:val="decimal" w:pos="1500"/>
              </w:tabs>
              <w:rPr>
                <w:snapToGrid w:val="0"/>
                <w:color w:val="000000"/>
              </w:rPr>
            </w:pPr>
            <w:r w:rsidRPr="00374FE3">
              <w:rPr>
                <w:snapToGrid w:val="0"/>
                <w:color w:val="000000"/>
              </w:rPr>
              <w:t>11,010</w:t>
            </w:r>
          </w:p>
        </w:tc>
      </w:tr>
      <w:tr w:rsidR="001F62EC" w:rsidRPr="00EB7BF0" w14:paraId="49CCB161" w14:textId="77777777" w:rsidTr="001F62EC">
        <w:trPr>
          <w:trHeight w:hRule="exact" w:val="230"/>
        </w:trPr>
        <w:tc>
          <w:tcPr>
            <w:tcW w:w="305" w:type="dxa"/>
          </w:tcPr>
          <w:p w14:paraId="5507AAB3" w14:textId="77777777" w:rsidR="001F62EC" w:rsidRPr="00EB7BF0" w:rsidRDefault="001F62EC" w:rsidP="001F62EC">
            <w:pPr>
              <w:jc w:val="right"/>
              <w:rPr>
                <w:snapToGrid w:val="0"/>
                <w:color w:val="000000"/>
              </w:rPr>
            </w:pPr>
          </w:p>
        </w:tc>
        <w:tc>
          <w:tcPr>
            <w:tcW w:w="302" w:type="dxa"/>
          </w:tcPr>
          <w:p w14:paraId="222C7F34" w14:textId="77777777" w:rsidR="001F62EC" w:rsidRPr="00EB7BF0" w:rsidRDefault="001F62EC" w:rsidP="001F62EC">
            <w:pPr>
              <w:jc w:val="right"/>
              <w:rPr>
                <w:snapToGrid w:val="0"/>
                <w:color w:val="000000"/>
              </w:rPr>
            </w:pPr>
          </w:p>
        </w:tc>
        <w:tc>
          <w:tcPr>
            <w:tcW w:w="5513" w:type="dxa"/>
          </w:tcPr>
          <w:p w14:paraId="2018B021" w14:textId="77777777" w:rsidR="001F62EC" w:rsidRPr="00E74795" w:rsidRDefault="001F62EC" w:rsidP="001F62EC">
            <w:pPr>
              <w:jc w:val="right"/>
              <w:rPr>
                <w:snapToGrid w:val="0"/>
                <w:color w:val="000000"/>
              </w:rPr>
            </w:pPr>
          </w:p>
        </w:tc>
        <w:tc>
          <w:tcPr>
            <w:tcW w:w="90" w:type="dxa"/>
          </w:tcPr>
          <w:p w14:paraId="6E29AB57" w14:textId="77777777" w:rsidR="001F62EC" w:rsidRPr="00E74795" w:rsidRDefault="001F62EC" w:rsidP="001F62EC">
            <w:pPr>
              <w:jc w:val="right"/>
              <w:rPr>
                <w:snapToGrid w:val="0"/>
                <w:color w:val="000000"/>
              </w:rPr>
            </w:pPr>
          </w:p>
        </w:tc>
        <w:tc>
          <w:tcPr>
            <w:tcW w:w="1710" w:type="dxa"/>
            <w:tcBorders>
              <w:top w:val="single" w:sz="6" w:space="0" w:color="auto"/>
            </w:tcBorders>
          </w:tcPr>
          <w:p w14:paraId="4F9F2223" w14:textId="77777777" w:rsidR="001F62EC" w:rsidRPr="00E74795" w:rsidRDefault="001F62EC" w:rsidP="001F62EC">
            <w:pPr>
              <w:tabs>
                <w:tab w:val="decimal" w:pos="1320"/>
              </w:tabs>
              <w:rPr>
                <w:snapToGrid w:val="0"/>
                <w:color w:val="000000"/>
              </w:rPr>
            </w:pPr>
          </w:p>
        </w:tc>
        <w:tc>
          <w:tcPr>
            <w:tcW w:w="270" w:type="dxa"/>
          </w:tcPr>
          <w:p w14:paraId="26ED8A88" w14:textId="77777777" w:rsidR="001F62EC" w:rsidRPr="00E74795" w:rsidRDefault="001F62EC" w:rsidP="001F62EC">
            <w:pPr>
              <w:jc w:val="right"/>
              <w:rPr>
                <w:snapToGrid w:val="0"/>
                <w:color w:val="000000"/>
              </w:rPr>
            </w:pPr>
          </w:p>
        </w:tc>
        <w:tc>
          <w:tcPr>
            <w:tcW w:w="1890" w:type="dxa"/>
            <w:tcBorders>
              <w:top w:val="single" w:sz="6" w:space="0" w:color="auto"/>
            </w:tcBorders>
          </w:tcPr>
          <w:p w14:paraId="01E859E1" w14:textId="77777777" w:rsidR="001F62EC" w:rsidRPr="00E74795" w:rsidRDefault="001F62EC" w:rsidP="001F62EC">
            <w:pPr>
              <w:tabs>
                <w:tab w:val="decimal" w:pos="1195"/>
              </w:tabs>
              <w:rPr>
                <w:snapToGrid w:val="0"/>
                <w:color w:val="000000"/>
              </w:rPr>
            </w:pPr>
          </w:p>
        </w:tc>
      </w:tr>
      <w:tr w:rsidR="001F62EC" w:rsidRPr="00EB7BF0" w14:paraId="2E672551" w14:textId="77777777" w:rsidTr="001F62EC">
        <w:trPr>
          <w:trHeight w:hRule="exact" w:val="230"/>
        </w:trPr>
        <w:tc>
          <w:tcPr>
            <w:tcW w:w="6120" w:type="dxa"/>
            <w:gridSpan w:val="3"/>
          </w:tcPr>
          <w:p w14:paraId="4CBDA943" w14:textId="77777777" w:rsidR="001F62EC" w:rsidRPr="00E74795" w:rsidRDefault="001F62EC" w:rsidP="001F62EC">
            <w:pPr>
              <w:rPr>
                <w:snapToGrid w:val="0"/>
                <w:color w:val="000000"/>
              </w:rPr>
            </w:pPr>
            <w:r w:rsidRPr="00374FE3">
              <w:rPr>
                <w:snapToGrid w:val="0"/>
                <w:color w:val="000000"/>
              </w:rPr>
              <w:t>Total assets</w:t>
            </w:r>
          </w:p>
        </w:tc>
        <w:tc>
          <w:tcPr>
            <w:tcW w:w="90" w:type="dxa"/>
          </w:tcPr>
          <w:p w14:paraId="231343B6" w14:textId="77777777" w:rsidR="001F62EC" w:rsidRPr="00E74795" w:rsidRDefault="001F62EC" w:rsidP="001F62EC">
            <w:pPr>
              <w:jc w:val="right"/>
              <w:rPr>
                <w:snapToGrid w:val="0"/>
                <w:color w:val="000000"/>
              </w:rPr>
            </w:pPr>
          </w:p>
        </w:tc>
        <w:tc>
          <w:tcPr>
            <w:tcW w:w="1710" w:type="dxa"/>
            <w:tcBorders>
              <w:bottom w:val="double" w:sz="6" w:space="0" w:color="auto"/>
            </w:tcBorders>
          </w:tcPr>
          <w:p w14:paraId="351964D3" w14:textId="20F71B86"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E53694">
              <w:rPr>
                <w:snapToGrid w:val="0"/>
                <w:color w:val="000000"/>
              </w:rPr>
              <w:t>830,833</w:t>
            </w:r>
          </w:p>
        </w:tc>
        <w:tc>
          <w:tcPr>
            <w:tcW w:w="270" w:type="dxa"/>
          </w:tcPr>
          <w:p w14:paraId="2A3DC5F9" w14:textId="77777777" w:rsidR="001F62EC" w:rsidRPr="00E74795" w:rsidRDefault="001F62EC" w:rsidP="001F62EC">
            <w:pPr>
              <w:jc w:val="right"/>
              <w:rPr>
                <w:snapToGrid w:val="0"/>
                <w:color w:val="000000"/>
              </w:rPr>
            </w:pPr>
          </w:p>
        </w:tc>
        <w:tc>
          <w:tcPr>
            <w:tcW w:w="1890" w:type="dxa"/>
            <w:tcBorders>
              <w:bottom w:val="double" w:sz="6" w:space="0" w:color="auto"/>
            </w:tcBorders>
          </w:tcPr>
          <w:p w14:paraId="1EE0BAB3" w14:textId="2FEC7B54"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011002">
              <w:rPr>
                <w:snapToGrid w:val="0"/>
                <w:color w:val="000000"/>
              </w:rPr>
              <w:t>468,880</w:t>
            </w:r>
          </w:p>
        </w:tc>
      </w:tr>
      <w:tr w:rsidR="001F62EC" w:rsidRPr="00EB7BF0" w14:paraId="037484FC" w14:textId="77777777" w:rsidTr="001F62EC">
        <w:trPr>
          <w:trHeight w:hRule="exact" w:val="230"/>
        </w:trPr>
        <w:tc>
          <w:tcPr>
            <w:tcW w:w="305" w:type="dxa"/>
          </w:tcPr>
          <w:p w14:paraId="460F686C" w14:textId="77777777" w:rsidR="001F62EC" w:rsidRPr="00EB7BF0" w:rsidRDefault="001F62EC" w:rsidP="001F62EC">
            <w:pPr>
              <w:jc w:val="right"/>
              <w:rPr>
                <w:snapToGrid w:val="0"/>
                <w:color w:val="000000"/>
              </w:rPr>
            </w:pPr>
          </w:p>
        </w:tc>
        <w:tc>
          <w:tcPr>
            <w:tcW w:w="302" w:type="dxa"/>
          </w:tcPr>
          <w:p w14:paraId="5825C276" w14:textId="77777777" w:rsidR="001F62EC" w:rsidRPr="00EB7BF0" w:rsidRDefault="001F62EC" w:rsidP="001F62EC">
            <w:pPr>
              <w:jc w:val="right"/>
              <w:rPr>
                <w:snapToGrid w:val="0"/>
                <w:color w:val="000000"/>
              </w:rPr>
            </w:pPr>
          </w:p>
        </w:tc>
        <w:tc>
          <w:tcPr>
            <w:tcW w:w="5513" w:type="dxa"/>
          </w:tcPr>
          <w:p w14:paraId="3BA210CB" w14:textId="77777777" w:rsidR="001F62EC" w:rsidRPr="00E74795" w:rsidRDefault="001F62EC" w:rsidP="001F62EC">
            <w:pPr>
              <w:jc w:val="right"/>
              <w:rPr>
                <w:snapToGrid w:val="0"/>
                <w:color w:val="000000"/>
              </w:rPr>
            </w:pPr>
          </w:p>
        </w:tc>
        <w:tc>
          <w:tcPr>
            <w:tcW w:w="90" w:type="dxa"/>
          </w:tcPr>
          <w:p w14:paraId="536B131D" w14:textId="77777777" w:rsidR="001F62EC" w:rsidRPr="00E74795" w:rsidRDefault="001F62EC" w:rsidP="001F62EC">
            <w:pPr>
              <w:jc w:val="right"/>
              <w:rPr>
                <w:snapToGrid w:val="0"/>
                <w:color w:val="000000"/>
              </w:rPr>
            </w:pPr>
          </w:p>
        </w:tc>
        <w:tc>
          <w:tcPr>
            <w:tcW w:w="1710" w:type="dxa"/>
          </w:tcPr>
          <w:p w14:paraId="4DC9116E" w14:textId="77777777" w:rsidR="001F62EC" w:rsidRPr="00E74795" w:rsidRDefault="001F62EC" w:rsidP="001F62EC">
            <w:pPr>
              <w:tabs>
                <w:tab w:val="decimal" w:pos="1195"/>
              </w:tabs>
              <w:jc w:val="right"/>
              <w:rPr>
                <w:snapToGrid w:val="0"/>
                <w:color w:val="000000"/>
              </w:rPr>
            </w:pPr>
          </w:p>
        </w:tc>
        <w:tc>
          <w:tcPr>
            <w:tcW w:w="270" w:type="dxa"/>
          </w:tcPr>
          <w:p w14:paraId="35AE9742" w14:textId="77777777" w:rsidR="001F62EC" w:rsidRPr="00E74795" w:rsidRDefault="001F62EC" w:rsidP="001F62EC">
            <w:pPr>
              <w:jc w:val="right"/>
              <w:rPr>
                <w:snapToGrid w:val="0"/>
                <w:color w:val="000000"/>
              </w:rPr>
            </w:pPr>
          </w:p>
        </w:tc>
        <w:tc>
          <w:tcPr>
            <w:tcW w:w="1890" w:type="dxa"/>
          </w:tcPr>
          <w:p w14:paraId="05ED80D8" w14:textId="77777777" w:rsidR="001F62EC" w:rsidRPr="00E74795" w:rsidRDefault="001F62EC" w:rsidP="001F62EC">
            <w:pPr>
              <w:tabs>
                <w:tab w:val="decimal" w:pos="1195"/>
              </w:tabs>
              <w:jc w:val="right"/>
              <w:rPr>
                <w:snapToGrid w:val="0"/>
                <w:color w:val="000000"/>
              </w:rPr>
            </w:pPr>
          </w:p>
        </w:tc>
      </w:tr>
      <w:tr w:rsidR="001F62EC" w:rsidRPr="00EB7BF0" w14:paraId="367E0E29" w14:textId="77777777" w:rsidTr="001F62EC">
        <w:trPr>
          <w:trHeight w:hRule="exact" w:val="230"/>
        </w:trPr>
        <w:tc>
          <w:tcPr>
            <w:tcW w:w="6120" w:type="dxa"/>
            <w:gridSpan w:val="3"/>
          </w:tcPr>
          <w:p w14:paraId="281E78F6" w14:textId="77777777" w:rsidR="001F62EC" w:rsidRPr="00E74795" w:rsidRDefault="001F62EC" w:rsidP="001F62EC">
            <w:pPr>
              <w:rPr>
                <w:snapToGrid w:val="0"/>
                <w:color w:val="000000"/>
              </w:rPr>
            </w:pPr>
            <w:r w:rsidRPr="00374FE3">
              <w:rPr>
                <w:snapToGrid w:val="0"/>
                <w:color w:val="000000"/>
              </w:rPr>
              <w:t>LIABILITIES AND STOCKHOLDERS’ EQUITY (DEFICIENCY)</w:t>
            </w:r>
          </w:p>
        </w:tc>
        <w:tc>
          <w:tcPr>
            <w:tcW w:w="90" w:type="dxa"/>
          </w:tcPr>
          <w:p w14:paraId="34133ECC" w14:textId="77777777" w:rsidR="001F62EC" w:rsidRPr="00E74795" w:rsidRDefault="001F62EC" w:rsidP="001F62EC">
            <w:pPr>
              <w:jc w:val="right"/>
              <w:rPr>
                <w:snapToGrid w:val="0"/>
                <w:color w:val="000000"/>
              </w:rPr>
            </w:pPr>
          </w:p>
        </w:tc>
        <w:tc>
          <w:tcPr>
            <w:tcW w:w="1710" w:type="dxa"/>
          </w:tcPr>
          <w:p w14:paraId="615CF23F" w14:textId="77777777" w:rsidR="001F62EC" w:rsidRPr="00E74795" w:rsidRDefault="001F62EC" w:rsidP="001F62EC">
            <w:pPr>
              <w:tabs>
                <w:tab w:val="decimal" w:pos="1195"/>
              </w:tabs>
              <w:jc w:val="right"/>
              <w:rPr>
                <w:snapToGrid w:val="0"/>
                <w:color w:val="000000"/>
              </w:rPr>
            </w:pPr>
          </w:p>
        </w:tc>
        <w:tc>
          <w:tcPr>
            <w:tcW w:w="270" w:type="dxa"/>
          </w:tcPr>
          <w:p w14:paraId="45C6486F" w14:textId="77777777" w:rsidR="001F62EC" w:rsidRPr="00E74795" w:rsidRDefault="001F62EC" w:rsidP="001F62EC">
            <w:pPr>
              <w:jc w:val="right"/>
              <w:rPr>
                <w:snapToGrid w:val="0"/>
                <w:color w:val="000000"/>
              </w:rPr>
            </w:pPr>
          </w:p>
        </w:tc>
        <w:tc>
          <w:tcPr>
            <w:tcW w:w="1890" w:type="dxa"/>
          </w:tcPr>
          <w:p w14:paraId="62D5933A" w14:textId="77777777" w:rsidR="001F62EC" w:rsidRPr="00E74795" w:rsidRDefault="001F62EC" w:rsidP="001F62EC">
            <w:pPr>
              <w:tabs>
                <w:tab w:val="decimal" w:pos="1195"/>
              </w:tabs>
              <w:jc w:val="right"/>
              <w:rPr>
                <w:snapToGrid w:val="0"/>
                <w:color w:val="000000"/>
              </w:rPr>
            </w:pPr>
          </w:p>
        </w:tc>
      </w:tr>
      <w:tr w:rsidR="001F62EC" w:rsidRPr="00EB7BF0" w14:paraId="6E48F23A" w14:textId="77777777" w:rsidTr="001F62EC">
        <w:trPr>
          <w:trHeight w:hRule="exact" w:val="230"/>
        </w:trPr>
        <w:tc>
          <w:tcPr>
            <w:tcW w:w="6120" w:type="dxa"/>
            <w:gridSpan w:val="3"/>
          </w:tcPr>
          <w:p w14:paraId="1CF1F890" w14:textId="77777777" w:rsidR="001F62EC" w:rsidRPr="00E74795" w:rsidRDefault="001F62EC" w:rsidP="001F62EC">
            <w:pPr>
              <w:rPr>
                <w:snapToGrid w:val="0"/>
                <w:color w:val="000000"/>
              </w:rPr>
            </w:pPr>
            <w:r w:rsidRPr="00374FE3">
              <w:rPr>
                <w:snapToGrid w:val="0"/>
                <w:color w:val="000000"/>
              </w:rPr>
              <w:t>Current liabilities:</w:t>
            </w:r>
          </w:p>
        </w:tc>
        <w:tc>
          <w:tcPr>
            <w:tcW w:w="90" w:type="dxa"/>
          </w:tcPr>
          <w:p w14:paraId="09D97299" w14:textId="77777777" w:rsidR="001F62EC" w:rsidRPr="00E74795" w:rsidRDefault="001F62EC" w:rsidP="001F62EC">
            <w:pPr>
              <w:jc w:val="right"/>
              <w:rPr>
                <w:snapToGrid w:val="0"/>
                <w:color w:val="000000"/>
              </w:rPr>
            </w:pPr>
          </w:p>
        </w:tc>
        <w:tc>
          <w:tcPr>
            <w:tcW w:w="1710" w:type="dxa"/>
          </w:tcPr>
          <w:p w14:paraId="760E1997" w14:textId="77777777" w:rsidR="001F62EC" w:rsidRPr="00E74795" w:rsidRDefault="001F62EC" w:rsidP="001F62EC">
            <w:pPr>
              <w:tabs>
                <w:tab w:val="decimal" w:pos="1195"/>
              </w:tabs>
              <w:jc w:val="right"/>
              <w:rPr>
                <w:snapToGrid w:val="0"/>
                <w:color w:val="000000"/>
              </w:rPr>
            </w:pPr>
          </w:p>
        </w:tc>
        <w:tc>
          <w:tcPr>
            <w:tcW w:w="270" w:type="dxa"/>
          </w:tcPr>
          <w:p w14:paraId="15F8B709" w14:textId="77777777" w:rsidR="001F62EC" w:rsidRPr="00E74795" w:rsidRDefault="001F62EC" w:rsidP="001F62EC">
            <w:pPr>
              <w:jc w:val="right"/>
              <w:rPr>
                <w:snapToGrid w:val="0"/>
                <w:color w:val="000000"/>
              </w:rPr>
            </w:pPr>
          </w:p>
        </w:tc>
        <w:tc>
          <w:tcPr>
            <w:tcW w:w="1890" w:type="dxa"/>
          </w:tcPr>
          <w:p w14:paraId="01928D72" w14:textId="77777777" w:rsidR="001F62EC" w:rsidRPr="00E74795" w:rsidRDefault="001F62EC" w:rsidP="001F62EC">
            <w:pPr>
              <w:tabs>
                <w:tab w:val="decimal" w:pos="1195"/>
              </w:tabs>
              <w:jc w:val="right"/>
              <w:rPr>
                <w:snapToGrid w:val="0"/>
                <w:color w:val="000000"/>
              </w:rPr>
            </w:pPr>
          </w:p>
        </w:tc>
      </w:tr>
      <w:tr w:rsidR="001F62EC" w:rsidRPr="00EB7BF0" w14:paraId="7844BDEA" w14:textId="77777777" w:rsidTr="001F62EC">
        <w:trPr>
          <w:trHeight w:hRule="exact" w:val="230"/>
        </w:trPr>
        <w:tc>
          <w:tcPr>
            <w:tcW w:w="305" w:type="dxa"/>
          </w:tcPr>
          <w:p w14:paraId="7F819487" w14:textId="77777777" w:rsidR="001F62EC" w:rsidRPr="00EB7BF0" w:rsidRDefault="001F62EC" w:rsidP="001F62EC">
            <w:pPr>
              <w:jc w:val="right"/>
              <w:rPr>
                <w:snapToGrid w:val="0"/>
                <w:color w:val="000000"/>
              </w:rPr>
            </w:pPr>
          </w:p>
        </w:tc>
        <w:tc>
          <w:tcPr>
            <w:tcW w:w="5815" w:type="dxa"/>
            <w:gridSpan w:val="2"/>
          </w:tcPr>
          <w:p w14:paraId="292BF55B" w14:textId="77777777" w:rsidR="001F62EC" w:rsidRPr="00E74795" w:rsidRDefault="001F62EC" w:rsidP="001F62EC">
            <w:pPr>
              <w:rPr>
                <w:b/>
                <w:snapToGrid w:val="0"/>
                <w:color w:val="000000"/>
              </w:rPr>
            </w:pPr>
            <w:r w:rsidRPr="00374FE3">
              <w:rPr>
                <w:snapToGrid w:val="0"/>
                <w:color w:val="000000"/>
              </w:rPr>
              <w:t xml:space="preserve">Accounts payable </w:t>
            </w:r>
          </w:p>
        </w:tc>
        <w:tc>
          <w:tcPr>
            <w:tcW w:w="90" w:type="dxa"/>
          </w:tcPr>
          <w:p w14:paraId="167076B5" w14:textId="77777777" w:rsidR="001F62EC" w:rsidRPr="00E74795" w:rsidRDefault="001F62EC" w:rsidP="001F62EC">
            <w:pPr>
              <w:jc w:val="right"/>
              <w:rPr>
                <w:snapToGrid w:val="0"/>
                <w:color w:val="000000"/>
              </w:rPr>
            </w:pPr>
          </w:p>
        </w:tc>
        <w:tc>
          <w:tcPr>
            <w:tcW w:w="1710" w:type="dxa"/>
          </w:tcPr>
          <w:p w14:paraId="7386BEA4" w14:textId="51A066F4"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E53694">
              <w:rPr>
                <w:snapToGrid w:val="0"/>
                <w:color w:val="000000"/>
              </w:rPr>
              <w:t>740,829</w:t>
            </w:r>
          </w:p>
        </w:tc>
        <w:tc>
          <w:tcPr>
            <w:tcW w:w="270" w:type="dxa"/>
          </w:tcPr>
          <w:p w14:paraId="134C7EF6" w14:textId="77777777" w:rsidR="001F62EC" w:rsidRPr="00E74795" w:rsidRDefault="001F62EC" w:rsidP="001F62EC">
            <w:pPr>
              <w:jc w:val="right"/>
              <w:rPr>
                <w:snapToGrid w:val="0"/>
                <w:color w:val="000000"/>
              </w:rPr>
            </w:pPr>
          </w:p>
        </w:tc>
        <w:tc>
          <w:tcPr>
            <w:tcW w:w="1890" w:type="dxa"/>
          </w:tcPr>
          <w:p w14:paraId="78AF4DB3" w14:textId="461525F8" w:rsidR="001F62EC" w:rsidRPr="00E74795" w:rsidRDefault="001F62EC" w:rsidP="001F62EC">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sidR="00011002">
              <w:rPr>
                <w:snapToGrid w:val="0"/>
                <w:color w:val="000000"/>
              </w:rPr>
              <w:t>152,653</w:t>
            </w:r>
          </w:p>
        </w:tc>
      </w:tr>
      <w:tr w:rsidR="001F62EC" w:rsidRPr="00EB7BF0" w14:paraId="440B88C5" w14:textId="77777777" w:rsidTr="001F62EC">
        <w:trPr>
          <w:trHeight w:hRule="exact" w:val="230"/>
        </w:trPr>
        <w:tc>
          <w:tcPr>
            <w:tcW w:w="305" w:type="dxa"/>
          </w:tcPr>
          <w:p w14:paraId="0036BDD0" w14:textId="77777777" w:rsidR="001F62EC" w:rsidRPr="00EB7BF0" w:rsidRDefault="001F62EC" w:rsidP="001F62EC">
            <w:pPr>
              <w:jc w:val="right"/>
              <w:rPr>
                <w:snapToGrid w:val="0"/>
                <w:color w:val="000000"/>
              </w:rPr>
            </w:pPr>
          </w:p>
        </w:tc>
        <w:tc>
          <w:tcPr>
            <w:tcW w:w="5815" w:type="dxa"/>
            <w:gridSpan w:val="2"/>
          </w:tcPr>
          <w:p w14:paraId="4F1C7528" w14:textId="77777777" w:rsidR="001F62EC" w:rsidRPr="00E74795" w:rsidRDefault="001F62EC" w:rsidP="001F62EC">
            <w:pPr>
              <w:rPr>
                <w:snapToGrid w:val="0"/>
                <w:color w:val="000000"/>
              </w:rPr>
            </w:pPr>
            <w:r w:rsidRPr="00374FE3">
              <w:rPr>
                <w:snapToGrid w:val="0"/>
                <w:color w:val="000000"/>
              </w:rPr>
              <w:t xml:space="preserve">Accrued expenses (Note </w:t>
            </w:r>
            <w:r>
              <w:rPr>
                <w:snapToGrid w:val="0"/>
                <w:color w:val="000000"/>
              </w:rPr>
              <w:t>6</w:t>
            </w:r>
            <w:r w:rsidRPr="00374FE3">
              <w:rPr>
                <w:snapToGrid w:val="0"/>
                <w:color w:val="000000"/>
              </w:rPr>
              <w:t>)</w:t>
            </w:r>
          </w:p>
        </w:tc>
        <w:tc>
          <w:tcPr>
            <w:tcW w:w="90" w:type="dxa"/>
          </w:tcPr>
          <w:p w14:paraId="11C759E6" w14:textId="77777777" w:rsidR="001F62EC" w:rsidRPr="00E74795" w:rsidRDefault="001F62EC" w:rsidP="001F62EC">
            <w:pPr>
              <w:jc w:val="right"/>
              <w:rPr>
                <w:snapToGrid w:val="0"/>
                <w:color w:val="000000"/>
              </w:rPr>
            </w:pPr>
          </w:p>
        </w:tc>
        <w:tc>
          <w:tcPr>
            <w:tcW w:w="1710" w:type="dxa"/>
          </w:tcPr>
          <w:p w14:paraId="27D090AB" w14:textId="13C40C53" w:rsidR="001F62EC" w:rsidRPr="00E74795" w:rsidRDefault="00E53694" w:rsidP="001F62EC">
            <w:pPr>
              <w:tabs>
                <w:tab w:val="decimal" w:pos="1320"/>
              </w:tabs>
              <w:rPr>
                <w:snapToGrid w:val="0"/>
                <w:color w:val="000000"/>
              </w:rPr>
            </w:pPr>
            <w:r>
              <w:rPr>
                <w:snapToGrid w:val="0"/>
                <w:color w:val="000000"/>
              </w:rPr>
              <w:t>1,917,425</w:t>
            </w:r>
          </w:p>
        </w:tc>
        <w:tc>
          <w:tcPr>
            <w:tcW w:w="270" w:type="dxa"/>
          </w:tcPr>
          <w:p w14:paraId="074AA7DF" w14:textId="77777777" w:rsidR="001F62EC" w:rsidRPr="00E74795" w:rsidRDefault="001F62EC" w:rsidP="001F62EC">
            <w:pPr>
              <w:jc w:val="right"/>
              <w:rPr>
                <w:snapToGrid w:val="0"/>
                <w:color w:val="000000"/>
              </w:rPr>
            </w:pPr>
          </w:p>
        </w:tc>
        <w:tc>
          <w:tcPr>
            <w:tcW w:w="1890" w:type="dxa"/>
          </w:tcPr>
          <w:p w14:paraId="5616CEE2" w14:textId="5D1AF054" w:rsidR="001F62EC" w:rsidRPr="00E74795" w:rsidRDefault="001F62EC" w:rsidP="001F62EC">
            <w:pPr>
              <w:tabs>
                <w:tab w:val="decimal" w:pos="1500"/>
              </w:tabs>
              <w:rPr>
                <w:snapToGrid w:val="0"/>
                <w:color w:val="000000"/>
              </w:rPr>
            </w:pPr>
            <w:r>
              <w:rPr>
                <w:snapToGrid w:val="0"/>
                <w:color w:val="000000"/>
              </w:rPr>
              <w:t>1,</w:t>
            </w:r>
            <w:r w:rsidR="00011002">
              <w:rPr>
                <w:snapToGrid w:val="0"/>
                <w:color w:val="000000"/>
              </w:rPr>
              <w:t>851,040</w:t>
            </w:r>
          </w:p>
        </w:tc>
      </w:tr>
      <w:tr w:rsidR="001F62EC" w:rsidRPr="00EB7BF0" w14:paraId="55F6957B" w14:textId="77777777" w:rsidTr="001F62EC">
        <w:trPr>
          <w:trHeight w:hRule="exact" w:val="230"/>
        </w:trPr>
        <w:tc>
          <w:tcPr>
            <w:tcW w:w="305" w:type="dxa"/>
          </w:tcPr>
          <w:p w14:paraId="098AD126" w14:textId="77777777" w:rsidR="001F62EC" w:rsidRPr="00EB7BF0" w:rsidRDefault="001F62EC" w:rsidP="001F62EC">
            <w:pPr>
              <w:jc w:val="right"/>
              <w:rPr>
                <w:snapToGrid w:val="0"/>
                <w:color w:val="000000"/>
              </w:rPr>
            </w:pPr>
          </w:p>
        </w:tc>
        <w:tc>
          <w:tcPr>
            <w:tcW w:w="5815" w:type="dxa"/>
            <w:gridSpan w:val="2"/>
          </w:tcPr>
          <w:p w14:paraId="2D8661A4" w14:textId="77777777" w:rsidR="001F62EC" w:rsidRPr="00E74795" w:rsidRDefault="001F62EC" w:rsidP="001F62EC">
            <w:pPr>
              <w:rPr>
                <w:snapToGrid w:val="0"/>
                <w:color w:val="000000"/>
              </w:rPr>
            </w:pPr>
            <w:r w:rsidRPr="00374FE3">
              <w:rPr>
                <w:snapToGrid w:val="0"/>
                <w:color w:val="000000"/>
              </w:rPr>
              <w:t xml:space="preserve">Current portion of notes payable (Note </w:t>
            </w:r>
            <w:r>
              <w:rPr>
                <w:snapToGrid w:val="0"/>
                <w:color w:val="000000"/>
              </w:rPr>
              <w:t>7</w:t>
            </w:r>
            <w:r w:rsidRPr="00374FE3">
              <w:rPr>
                <w:snapToGrid w:val="0"/>
                <w:color w:val="000000"/>
              </w:rPr>
              <w:t>)</w:t>
            </w:r>
          </w:p>
        </w:tc>
        <w:tc>
          <w:tcPr>
            <w:tcW w:w="90" w:type="dxa"/>
          </w:tcPr>
          <w:p w14:paraId="175CAB52" w14:textId="77777777" w:rsidR="001F62EC" w:rsidRPr="00E74795" w:rsidRDefault="001F62EC" w:rsidP="001F62EC">
            <w:pPr>
              <w:jc w:val="right"/>
              <w:rPr>
                <w:snapToGrid w:val="0"/>
                <w:color w:val="000000"/>
              </w:rPr>
            </w:pPr>
          </w:p>
        </w:tc>
        <w:tc>
          <w:tcPr>
            <w:tcW w:w="1710" w:type="dxa"/>
            <w:tcBorders>
              <w:bottom w:val="single" w:sz="4" w:space="0" w:color="auto"/>
            </w:tcBorders>
          </w:tcPr>
          <w:p w14:paraId="59251AFD" w14:textId="55423017" w:rsidR="001F62EC" w:rsidRPr="00E74795" w:rsidRDefault="00E53694" w:rsidP="001F62EC">
            <w:pPr>
              <w:tabs>
                <w:tab w:val="decimal" w:pos="1320"/>
              </w:tabs>
              <w:rPr>
                <w:snapToGrid w:val="0"/>
                <w:color w:val="000000"/>
              </w:rPr>
            </w:pPr>
            <w:r>
              <w:rPr>
                <w:snapToGrid w:val="0"/>
                <w:color w:val="000000"/>
              </w:rPr>
              <w:t>12,048</w:t>
            </w:r>
          </w:p>
        </w:tc>
        <w:tc>
          <w:tcPr>
            <w:tcW w:w="270" w:type="dxa"/>
          </w:tcPr>
          <w:p w14:paraId="7F895092" w14:textId="77777777" w:rsidR="001F62EC" w:rsidRPr="00E74795" w:rsidRDefault="001F62EC" w:rsidP="001F62EC">
            <w:pPr>
              <w:jc w:val="right"/>
              <w:rPr>
                <w:snapToGrid w:val="0"/>
                <w:color w:val="000000"/>
              </w:rPr>
            </w:pPr>
          </w:p>
        </w:tc>
        <w:tc>
          <w:tcPr>
            <w:tcW w:w="1890" w:type="dxa"/>
            <w:tcBorders>
              <w:bottom w:val="single" w:sz="4" w:space="0" w:color="auto"/>
            </w:tcBorders>
          </w:tcPr>
          <w:p w14:paraId="51E4EA1F" w14:textId="6911FA71" w:rsidR="001F62EC" w:rsidRPr="00E74795" w:rsidRDefault="00011002" w:rsidP="001F62EC">
            <w:pPr>
              <w:tabs>
                <w:tab w:val="decimal" w:pos="1195"/>
              </w:tabs>
              <w:jc w:val="center"/>
              <w:rPr>
                <w:snapToGrid w:val="0"/>
                <w:color w:val="000000"/>
              </w:rPr>
            </w:pPr>
            <w:r>
              <w:rPr>
                <w:snapToGrid w:val="0"/>
                <w:color w:val="000000"/>
              </w:rPr>
              <w:t>12,500</w:t>
            </w:r>
          </w:p>
        </w:tc>
      </w:tr>
      <w:tr w:rsidR="001F62EC" w:rsidRPr="00EB7BF0" w14:paraId="6DA53DFF" w14:textId="77777777" w:rsidTr="001F62EC">
        <w:trPr>
          <w:trHeight w:hRule="exact" w:val="230"/>
        </w:trPr>
        <w:tc>
          <w:tcPr>
            <w:tcW w:w="6120" w:type="dxa"/>
            <w:gridSpan w:val="3"/>
          </w:tcPr>
          <w:p w14:paraId="6FD170F0" w14:textId="77777777" w:rsidR="001F62EC" w:rsidRPr="00E74795" w:rsidRDefault="001F62EC" w:rsidP="001F62EC">
            <w:pPr>
              <w:rPr>
                <w:snapToGrid w:val="0"/>
                <w:color w:val="000000"/>
              </w:rPr>
            </w:pPr>
            <w:r w:rsidRPr="00374FE3">
              <w:rPr>
                <w:snapToGrid w:val="0"/>
                <w:color w:val="000000"/>
              </w:rPr>
              <w:t>Total current liabilities</w:t>
            </w:r>
          </w:p>
        </w:tc>
        <w:tc>
          <w:tcPr>
            <w:tcW w:w="90" w:type="dxa"/>
          </w:tcPr>
          <w:p w14:paraId="50E69E8C" w14:textId="77777777" w:rsidR="001F62EC" w:rsidRPr="00E74795" w:rsidRDefault="001F62EC" w:rsidP="001F62EC">
            <w:pPr>
              <w:jc w:val="right"/>
              <w:rPr>
                <w:snapToGrid w:val="0"/>
                <w:color w:val="000000"/>
              </w:rPr>
            </w:pPr>
          </w:p>
        </w:tc>
        <w:tc>
          <w:tcPr>
            <w:tcW w:w="1710" w:type="dxa"/>
            <w:tcBorders>
              <w:top w:val="single" w:sz="4" w:space="0" w:color="auto"/>
            </w:tcBorders>
          </w:tcPr>
          <w:p w14:paraId="3A5D4856" w14:textId="6B71986E" w:rsidR="001F62EC" w:rsidRPr="00E74795" w:rsidRDefault="00E53694" w:rsidP="001F62EC">
            <w:pPr>
              <w:tabs>
                <w:tab w:val="decimal" w:pos="1320"/>
              </w:tabs>
              <w:rPr>
                <w:snapToGrid w:val="0"/>
                <w:color w:val="000000"/>
              </w:rPr>
            </w:pPr>
            <w:r>
              <w:rPr>
                <w:snapToGrid w:val="0"/>
                <w:color w:val="000000"/>
              </w:rPr>
              <w:t>2,670,302</w:t>
            </w:r>
          </w:p>
        </w:tc>
        <w:tc>
          <w:tcPr>
            <w:tcW w:w="270" w:type="dxa"/>
          </w:tcPr>
          <w:p w14:paraId="27ACDF2A" w14:textId="77777777" w:rsidR="001F62EC" w:rsidRPr="00E74795" w:rsidRDefault="001F62EC" w:rsidP="001F62EC">
            <w:pPr>
              <w:jc w:val="right"/>
              <w:rPr>
                <w:snapToGrid w:val="0"/>
                <w:color w:val="000000"/>
              </w:rPr>
            </w:pPr>
          </w:p>
        </w:tc>
        <w:tc>
          <w:tcPr>
            <w:tcW w:w="1890" w:type="dxa"/>
            <w:tcBorders>
              <w:top w:val="single" w:sz="4" w:space="0" w:color="auto"/>
            </w:tcBorders>
          </w:tcPr>
          <w:p w14:paraId="2DFA1285" w14:textId="1394DB5F" w:rsidR="001F62EC" w:rsidRPr="00E74795" w:rsidRDefault="00011002" w:rsidP="001F62EC">
            <w:pPr>
              <w:tabs>
                <w:tab w:val="decimal" w:pos="1500"/>
              </w:tabs>
              <w:rPr>
                <w:snapToGrid w:val="0"/>
                <w:color w:val="000000"/>
              </w:rPr>
            </w:pPr>
            <w:r>
              <w:rPr>
                <w:snapToGrid w:val="0"/>
                <w:color w:val="000000"/>
              </w:rPr>
              <w:t>2,016,193</w:t>
            </w:r>
          </w:p>
        </w:tc>
      </w:tr>
      <w:tr w:rsidR="001F62EC" w:rsidRPr="00EB7BF0" w14:paraId="779FCC2C" w14:textId="77777777" w:rsidTr="001F62EC">
        <w:trPr>
          <w:trHeight w:hRule="exact" w:val="230"/>
        </w:trPr>
        <w:tc>
          <w:tcPr>
            <w:tcW w:w="6120" w:type="dxa"/>
            <w:gridSpan w:val="3"/>
          </w:tcPr>
          <w:p w14:paraId="77485CFD" w14:textId="77777777" w:rsidR="001F62EC" w:rsidRPr="00E74795" w:rsidRDefault="001F62EC" w:rsidP="001F62EC">
            <w:pPr>
              <w:rPr>
                <w:snapToGrid w:val="0"/>
                <w:color w:val="000000"/>
              </w:rPr>
            </w:pPr>
            <w:r w:rsidRPr="00374FE3">
              <w:rPr>
                <w:snapToGrid w:val="0"/>
                <w:color w:val="000000"/>
              </w:rPr>
              <w:t xml:space="preserve">Note payable, net of current portion (Note </w:t>
            </w:r>
            <w:r>
              <w:rPr>
                <w:snapToGrid w:val="0"/>
                <w:color w:val="000000"/>
              </w:rPr>
              <w:t>7</w:t>
            </w:r>
            <w:r w:rsidRPr="00374FE3">
              <w:rPr>
                <w:snapToGrid w:val="0"/>
                <w:color w:val="000000"/>
              </w:rPr>
              <w:t>)</w:t>
            </w:r>
          </w:p>
        </w:tc>
        <w:tc>
          <w:tcPr>
            <w:tcW w:w="90" w:type="dxa"/>
          </w:tcPr>
          <w:p w14:paraId="2E2451C5" w14:textId="77777777" w:rsidR="001F62EC" w:rsidRPr="00E74795" w:rsidRDefault="001F62EC" w:rsidP="001F62EC">
            <w:pPr>
              <w:jc w:val="right"/>
              <w:rPr>
                <w:snapToGrid w:val="0"/>
                <w:color w:val="000000"/>
              </w:rPr>
            </w:pPr>
          </w:p>
        </w:tc>
        <w:tc>
          <w:tcPr>
            <w:tcW w:w="1710" w:type="dxa"/>
            <w:tcBorders>
              <w:bottom w:val="single" w:sz="4" w:space="0" w:color="auto"/>
            </w:tcBorders>
          </w:tcPr>
          <w:p w14:paraId="4261AFC8" w14:textId="1417CCD0" w:rsidR="001F62EC" w:rsidRPr="00E74795" w:rsidRDefault="00E53694" w:rsidP="001F62EC">
            <w:pPr>
              <w:tabs>
                <w:tab w:val="decimal" w:pos="1320"/>
              </w:tabs>
              <w:rPr>
                <w:snapToGrid w:val="0"/>
                <w:color w:val="000000"/>
              </w:rPr>
            </w:pPr>
            <w:r>
              <w:rPr>
                <w:snapToGrid w:val="0"/>
                <w:color w:val="000000"/>
              </w:rPr>
              <w:t>24,781</w:t>
            </w:r>
          </w:p>
        </w:tc>
        <w:tc>
          <w:tcPr>
            <w:tcW w:w="270" w:type="dxa"/>
          </w:tcPr>
          <w:p w14:paraId="38A174DB" w14:textId="77777777" w:rsidR="001F62EC" w:rsidRPr="00E74795" w:rsidRDefault="001F62EC" w:rsidP="001F62EC">
            <w:pPr>
              <w:jc w:val="right"/>
              <w:rPr>
                <w:snapToGrid w:val="0"/>
                <w:color w:val="000000"/>
              </w:rPr>
            </w:pPr>
          </w:p>
        </w:tc>
        <w:tc>
          <w:tcPr>
            <w:tcW w:w="1890" w:type="dxa"/>
            <w:tcBorders>
              <w:bottom w:val="single" w:sz="4" w:space="0" w:color="auto"/>
            </w:tcBorders>
          </w:tcPr>
          <w:p w14:paraId="250CD04C" w14:textId="005A461F" w:rsidR="001F62EC" w:rsidRPr="00E74795" w:rsidRDefault="00011002" w:rsidP="001F62EC">
            <w:pPr>
              <w:tabs>
                <w:tab w:val="decimal" w:pos="1500"/>
              </w:tabs>
              <w:rPr>
                <w:snapToGrid w:val="0"/>
                <w:color w:val="000000"/>
              </w:rPr>
            </w:pPr>
            <w:r>
              <w:rPr>
                <w:snapToGrid w:val="0"/>
                <w:color w:val="000000"/>
              </w:rPr>
              <w:t>27,243</w:t>
            </w:r>
          </w:p>
        </w:tc>
      </w:tr>
      <w:tr w:rsidR="001F62EC" w:rsidRPr="00EB7BF0" w14:paraId="6C5A9D38" w14:textId="77777777" w:rsidTr="001F62EC">
        <w:trPr>
          <w:trHeight w:hRule="exact" w:val="230"/>
        </w:trPr>
        <w:tc>
          <w:tcPr>
            <w:tcW w:w="6120" w:type="dxa"/>
            <w:gridSpan w:val="3"/>
          </w:tcPr>
          <w:p w14:paraId="4868A8A6" w14:textId="77777777" w:rsidR="001F62EC" w:rsidRPr="00E74795" w:rsidRDefault="001F62EC" w:rsidP="001F62EC">
            <w:pPr>
              <w:rPr>
                <w:snapToGrid w:val="0"/>
                <w:color w:val="000000"/>
              </w:rPr>
            </w:pPr>
            <w:r w:rsidRPr="00374FE3">
              <w:rPr>
                <w:snapToGrid w:val="0"/>
                <w:color w:val="000000"/>
              </w:rPr>
              <w:t>Total liabilities</w:t>
            </w:r>
          </w:p>
        </w:tc>
        <w:tc>
          <w:tcPr>
            <w:tcW w:w="90" w:type="dxa"/>
          </w:tcPr>
          <w:p w14:paraId="721ABB19" w14:textId="77777777" w:rsidR="001F62EC" w:rsidRPr="00E74795" w:rsidRDefault="001F62EC" w:rsidP="001F62EC">
            <w:pPr>
              <w:jc w:val="right"/>
              <w:rPr>
                <w:snapToGrid w:val="0"/>
                <w:color w:val="000000"/>
              </w:rPr>
            </w:pPr>
          </w:p>
        </w:tc>
        <w:tc>
          <w:tcPr>
            <w:tcW w:w="1710" w:type="dxa"/>
            <w:tcBorders>
              <w:top w:val="single" w:sz="4" w:space="0" w:color="auto"/>
            </w:tcBorders>
          </w:tcPr>
          <w:p w14:paraId="0688A346" w14:textId="7A3F9741" w:rsidR="001F62EC" w:rsidRPr="00E74795" w:rsidRDefault="00E53694" w:rsidP="001F62EC">
            <w:pPr>
              <w:tabs>
                <w:tab w:val="decimal" w:pos="1320"/>
              </w:tabs>
              <w:rPr>
                <w:snapToGrid w:val="0"/>
                <w:color w:val="000000"/>
              </w:rPr>
            </w:pPr>
            <w:r>
              <w:rPr>
                <w:snapToGrid w:val="0"/>
                <w:color w:val="000000"/>
              </w:rPr>
              <w:t>2,695,083</w:t>
            </w:r>
          </w:p>
        </w:tc>
        <w:tc>
          <w:tcPr>
            <w:tcW w:w="270" w:type="dxa"/>
          </w:tcPr>
          <w:p w14:paraId="42EC6B34" w14:textId="77777777" w:rsidR="001F62EC" w:rsidRPr="00E74795" w:rsidRDefault="001F62EC" w:rsidP="001F62EC">
            <w:pPr>
              <w:jc w:val="right"/>
              <w:rPr>
                <w:snapToGrid w:val="0"/>
                <w:color w:val="000000"/>
              </w:rPr>
            </w:pPr>
          </w:p>
        </w:tc>
        <w:tc>
          <w:tcPr>
            <w:tcW w:w="1890" w:type="dxa"/>
            <w:tcBorders>
              <w:top w:val="single" w:sz="4" w:space="0" w:color="auto"/>
            </w:tcBorders>
          </w:tcPr>
          <w:p w14:paraId="02D97B44" w14:textId="238D8806" w:rsidR="001F62EC" w:rsidRPr="00E74795" w:rsidRDefault="00011002" w:rsidP="001F62EC">
            <w:pPr>
              <w:tabs>
                <w:tab w:val="decimal" w:pos="1500"/>
              </w:tabs>
              <w:rPr>
                <w:snapToGrid w:val="0"/>
                <w:color w:val="000000"/>
              </w:rPr>
            </w:pPr>
            <w:r>
              <w:rPr>
                <w:snapToGrid w:val="0"/>
                <w:color w:val="000000"/>
              </w:rPr>
              <w:t>2,043,436</w:t>
            </w:r>
          </w:p>
        </w:tc>
      </w:tr>
      <w:tr w:rsidR="001F62EC" w:rsidRPr="00EB7BF0" w14:paraId="4F0AEA0A" w14:textId="77777777" w:rsidTr="001F62EC">
        <w:trPr>
          <w:trHeight w:hRule="exact" w:val="230"/>
        </w:trPr>
        <w:tc>
          <w:tcPr>
            <w:tcW w:w="305" w:type="dxa"/>
          </w:tcPr>
          <w:p w14:paraId="6B4E4C0E" w14:textId="77777777" w:rsidR="001F62EC" w:rsidRPr="00EB7BF0" w:rsidRDefault="001F62EC" w:rsidP="001F62EC">
            <w:pPr>
              <w:jc w:val="right"/>
              <w:rPr>
                <w:snapToGrid w:val="0"/>
                <w:color w:val="000000"/>
              </w:rPr>
            </w:pPr>
          </w:p>
        </w:tc>
        <w:tc>
          <w:tcPr>
            <w:tcW w:w="302" w:type="dxa"/>
          </w:tcPr>
          <w:p w14:paraId="35C8966B" w14:textId="77777777" w:rsidR="001F62EC" w:rsidRPr="00EB7BF0" w:rsidRDefault="001F62EC" w:rsidP="001F62EC">
            <w:pPr>
              <w:jc w:val="right"/>
              <w:rPr>
                <w:snapToGrid w:val="0"/>
                <w:color w:val="000000"/>
              </w:rPr>
            </w:pPr>
          </w:p>
        </w:tc>
        <w:tc>
          <w:tcPr>
            <w:tcW w:w="5513" w:type="dxa"/>
          </w:tcPr>
          <w:p w14:paraId="6B3F5EE9" w14:textId="77777777" w:rsidR="001F62EC" w:rsidRPr="00E74795" w:rsidRDefault="001F62EC" w:rsidP="001F62EC">
            <w:pPr>
              <w:rPr>
                <w:snapToGrid w:val="0"/>
                <w:color w:val="000000"/>
              </w:rPr>
            </w:pPr>
          </w:p>
        </w:tc>
        <w:tc>
          <w:tcPr>
            <w:tcW w:w="90" w:type="dxa"/>
          </w:tcPr>
          <w:p w14:paraId="7928FAE4" w14:textId="77777777" w:rsidR="001F62EC" w:rsidRPr="00E74795" w:rsidRDefault="001F62EC" w:rsidP="001F62EC">
            <w:pPr>
              <w:jc w:val="right"/>
              <w:rPr>
                <w:snapToGrid w:val="0"/>
                <w:color w:val="000000"/>
              </w:rPr>
            </w:pPr>
          </w:p>
        </w:tc>
        <w:tc>
          <w:tcPr>
            <w:tcW w:w="1710" w:type="dxa"/>
          </w:tcPr>
          <w:p w14:paraId="342DEC8C" w14:textId="77777777" w:rsidR="001F62EC" w:rsidRPr="00E74795" w:rsidRDefault="001F62EC" w:rsidP="001F62EC">
            <w:pPr>
              <w:tabs>
                <w:tab w:val="decimal" w:pos="1320"/>
              </w:tabs>
              <w:rPr>
                <w:snapToGrid w:val="0"/>
                <w:color w:val="000000"/>
              </w:rPr>
            </w:pPr>
          </w:p>
        </w:tc>
        <w:tc>
          <w:tcPr>
            <w:tcW w:w="270" w:type="dxa"/>
          </w:tcPr>
          <w:p w14:paraId="60D88A1A" w14:textId="77777777" w:rsidR="001F62EC" w:rsidRPr="00E74795" w:rsidRDefault="001F62EC" w:rsidP="001F62EC">
            <w:pPr>
              <w:jc w:val="right"/>
              <w:rPr>
                <w:snapToGrid w:val="0"/>
                <w:color w:val="000000"/>
              </w:rPr>
            </w:pPr>
          </w:p>
        </w:tc>
        <w:tc>
          <w:tcPr>
            <w:tcW w:w="1890" w:type="dxa"/>
          </w:tcPr>
          <w:p w14:paraId="6E370014" w14:textId="77777777" w:rsidR="001F62EC" w:rsidRDefault="001F62EC" w:rsidP="001F62EC">
            <w:pPr>
              <w:tabs>
                <w:tab w:val="decimal" w:pos="1500"/>
              </w:tabs>
              <w:rPr>
                <w:snapToGrid w:val="0"/>
                <w:color w:val="000000"/>
              </w:rPr>
            </w:pPr>
          </w:p>
        </w:tc>
      </w:tr>
      <w:tr w:rsidR="001F62EC" w:rsidRPr="00EB7BF0" w14:paraId="740711B1" w14:textId="77777777" w:rsidTr="001F62EC">
        <w:trPr>
          <w:trHeight w:hRule="exact" w:val="230"/>
        </w:trPr>
        <w:tc>
          <w:tcPr>
            <w:tcW w:w="6120" w:type="dxa"/>
            <w:gridSpan w:val="3"/>
          </w:tcPr>
          <w:p w14:paraId="70C15553" w14:textId="77777777" w:rsidR="001F62EC" w:rsidRPr="00E74795" w:rsidRDefault="001F62EC" w:rsidP="001F62EC">
            <w:pPr>
              <w:rPr>
                <w:snapToGrid w:val="0"/>
                <w:color w:val="000000"/>
              </w:rPr>
            </w:pPr>
            <w:r w:rsidRPr="00374FE3">
              <w:rPr>
                <w:snapToGrid w:val="0"/>
                <w:color w:val="000000"/>
              </w:rPr>
              <w:t xml:space="preserve">Commitments (Note </w:t>
            </w:r>
            <w:r>
              <w:rPr>
                <w:snapToGrid w:val="0"/>
                <w:color w:val="000000"/>
              </w:rPr>
              <w:t>8</w:t>
            </w:r>
            <w:r w:rsidRPr="00374FE3">
              <w:rPr>
                <w:snapToGrid w:val="0"/>
                <w:color w:val="000000"/>
              </w:rPr>
              <w:t>)</w:t>
            </w:r>
          </w:p>
        </w:tc>
        <w:tc>
          <w:tcPr>
            <w:tcW w:w="90" w:type="dxa"/>
          </w:tcPr>
          <w:p w14:paraId="43F34D3C" w14:textId="77777777" w:rsidR="001F62EC" w:rsidRPr="00E74795" w:rsidRDefault="001F62EC" w:rsidP="001F62EC">
            <w:pPr>
              <w:jc w:val="right"/>
              <w:rPr>
                <w:snapToGrid w:val="0"/>
                <w:color w:val="000000"/>
              </w:rPr>
            </w:pPr>
          </w:p>
        </w:tc>
        <w:tc>
          <w:tcPr>
            <w:tcW w:w="1710" w:type="dxa"/>
          </w:tcPr>
          <w:p w14:paraId="67E6C8D7" w14:textId="77777777" w:rsidR="001F62EC" w:rsidRPr="00E74795" w:rsidRDefault="001F62EC" w:rsidP="001F62EC">
            <w:pPr>
              <w:tabs>
                <w:tab w:val="decimal" w:pos="1195"/>
              </w:tabs>
              <w:jc w:val="right"/>
              <w:rPr>
                <w:snapToGrid w:val="0"/>
                <w:color w:val="000000"/>
              </w:rPr>
            </w:pPr>
          </w:p>
        </w:tc>
        <w:tc>
          <w:tcPr>
            <w:tcW w:w="270" w:type="dxa"/>
          </w:tcPr>
          <w:p w14:paraId="1BB3DC57" w14:textId="77777777" w:rsidR="001F62EC" w:rsidRPr="00E74795" w:rsidRDefault="001F62EC" w:rsidP="001F62EC">
            <w:pPr>
              <w:jc w:val="right"/>
              <w:rPr>
                <w:snapToGrid w:val="0"/>
                <w:color w:val="000000"/>
              </w:rPr>
            </w:pPr>
          </w:p>
        </w:tc>
        <w:tc>
          <w:tcPr>
            <w:tcW w:w="1890" w:type="dxa"/>
          </w:tcPr>
          <w:p w14:paraId="5E18AF39" w14:textId="77777777" w:rsidR="001F62EC" w:rsidRPr="00E74795" w:rsidRDefault="001F62EC" w:rsidP="001F62EC">
            <w:pPr>
              <w:tabs>
                <w:tab w:val="decimal" w:pos="1195"/>
              </w:tabs>
              <w:jc w:val="right"/>
              <w:rPr>
                <w:snapToGrid w:val="0"/>
                <w:color w:val="000000"/>
              </w:rPr>
            </w:pPr>
          </w:p>
        </w:tc>
      </w:tr>
      <w:tr w:rsidR="001F62EC" w:rsidRPr="00EB7BF0" w14:paraId="7CB09B10" w14:textId="77777777" w:rsidTr="001F62EC">
        <w:trPr>
          <w:trHeight w:hRule="exact" w:val="230"/>
        </w:trPr>
        <w:tc>
          <w:tcPr>
            <w:tcW w:w="305" w:type="dxa"/>
          </w:tcPr>
          <w:p w14:paraId="4E3EBA65" w14:textId="77777777" w:rsidR="001F62EC" w:rsidRPr="00EB7BF0" w:rsidRDefault="001F62EC" w:rsidP="001F62EC">
            <w:pPr>
              <w:jc w:val="right"/>
              <w:rPr>
                <w:snapToGrid w:val="0"/>
                <w:color w:val="000000"/>
              </w:rPr>
            </w:pPr>
          </w:p>
        </w:tc>
        <w:tc>
          <w:tcPr>
            <w:tcW w:w="302" w:type="dxa"/>
          </w:tcPr>
          <w:p w14:paraId="5781A1B6" w14:textId="77777777" w:rsidR="001F62EC" w:rsidRPr="00EB7BF0" w:rsidRDefault="001F62EC" w:rsidP="001F62EC">
            <w:pPr>
              <w:jc w:val="right"/>
              <w:rPr>
                <w:snapToGrid w:val="0"/>
                <w:color w:val="000000"/>
              </w:rPr>
            </w:pPr>
          </w:p>
        </w:tc>
        <w:tc>
          <w:tcPr>
            <w:tcW w:w="5513" w:type="dxa"/>
          </w:tcPr>
          <w:p w14:paraId="2325A7F9" w14:textId="77777777" w:rsidR="001F62EC" w:rsidRPr="00E74795" w:rsidRDefault="001F62EC" w:rsidP="001F62EC">
            <w:pPr>
              <w:jc w:val="right"/>
              <w:rPr>
                <w:snapToGrid w:val="0"/>
                <w:color w:val="000000"/>
              </w:rPr>
            </w:pPr>
          </w:p>
        </w:tc>
        <w:tc>
          <w:tcPr>
            <w:tcW w:w="90" w:type="dxa"/>
          </w:tcPr>
          <w:p w14:paraId="76A9C1A9" w14:textId="77777777" w:rsidR="001F62EC" w:rsidRPr="00E74795" w:rsidRDefault="001F62EC" w:rsidP="001F62EC">
            <w:pPr>
              <w:jc w:val="right"/>
              <w:rPr>
                <w:snapToGrid w:val="0"/>
                <w:color w:val="000000"/>
              </w:rPr>
            </w:pPr>
          </w:p>
        </w:tc>
        <w:tc>
          <w:tcPr>
            <w:tcW w:w="1710" w:type="dxa"/>
          </w:tcPr>
          <w:p w14:paraId="6977782A" w14:textId="77777777" w:rsidR="001F62EC" w:rsidRPr="00E74795" w:rsidRDefault="001F62EC" w:rsidP="001F62EC">
            <w:pPr>
              <w:tabs>
                <w:tab w:val="decimal" w:pos="1195"/>
              </w:tabs>
              <w:jc w:val="right"/>
              <w:rPr>
                <w:snapToGrid w:val="0"/>
                <w:color w:val="000000"/>
              </w:rPr>
            </w:pPr>
          </w:p>
        </w:tc>
        <w:tc>
          <w:tcPr>
            <w:tcW w:w="270" w:type="dxa"/>
          </w:tcPr>
          <w:p w14:paraId="2749C232" w14:textId="77777777" w:rsidR="001F62EC" w:rsidRPr="00E74795" w:rsidRDefault="001F62EC" w:rsidP="001F62EC">
            <w:pPr>
              <w:jc w:val="right"/>
              <w:rPr>
                <w:snapToGrid w:val="0"/>
                <w:color w:val="000000"/>
              </w:rPr>
            </w:pPr>
          </w:p>
        </w:tc>
        <w:tc>
          <w:tcPr>
            <w:tcW w:w="1890" w:type="dxa"/>
          </w:tcPr>
          <w:p w14:paraId="53ABB0F5" w14:textId="77777777" w:rsidR="001F62EC" w:rsidRPr="00E74795" w:rsidRDefault="001F62EC" w:rsidP="001F62EC">
            <w:pPr>
              <w:tabs>
                <w:tab w:val="decimal" w:pos="1195"/>
              </w:tabs>
              <w:jc w:val="right"/>
              <w:rPr>
                <w:snapToGrid w:val="0"/>
                <w:color w:val="000000"/>
              </w:rPr>
            </w:pPr>
          </w:p>
        </w:tc>
      </w:tr>
      <w:tr w:rsidR="001F62EC" w:rsidRPr="00EB7BF0" w14:paraId="1858B346" w14:textId="77777777" w:rsidTr="001F62EC">
        <w:trPr>
          <w:trHeight w:hRule="exact" w:val="230"/>
        </w:trPr>
        <w:tc>
          <w:tcPr>
            <w:tcW w:w="6120" w:type="dxa"/>
            <w:gridSpan w:val="3"/>
          </w:tcPr>
          <w:p w14:paraId="1E39C2E1" w14:textId="77777777" w:rsidR="001F62EC" w:rsidRPr="00E74795" w:rsidRDefault="001F62EC" w:rsidP="001F62EC">
            <w:pPr>
              <w:rPr>
                <w:snapToGrid w:val="0"/>
                <w:color w:val="000000"/>
              </w:rPr>
            </w:pPr>
            <w:r w:rsidRPr="00374FE3">
              <w:rPr>
                <w:snapToGrid w:val="0"/>
                <w:color w:val="000000"/>
              </w:rPr>
              <w:t>Stockholders’ equity (deficiency):</w:t>
            </w:r>
          </w:p>
        </w:tc>
        <w:tc>
          <w:tcPr>
            <w:tcW w:w="90" w:type="dxa"/>
          </w:tcPr>
          <w:p w14:paraId="28F5F434" w14:textId="77777777" w:rsidR="001F62EC" w:rsidRPr="00E74795" w:rsidRDefault="001F62EC" w:rsidP="001F62EC">
            <w:pPr>
              <w:jc w:val="right"/>
              <w:rPr>
                <w:snapToGrid w:val="0"/>
                <w:color w:val="000000"/>
              </w:rPr>
            </w:pPr>
          </w:p>
        </w:tc>
        <w:tc>
          <w:tcPr>
            <w:tcW w:w="1710" w:type="dxa"/>
          </w:tcPr>
          <w:p w14:paraId="7EA626C9" w14:textId="77777777" w:rsidR="001F62EC" w:rsidRPr="00E74795" w:rsidRDefault="001F62EC" w:rsidP="001F62EC">
            <w:pPr>
              <w:tabs>
                <w:tab w:val="decimal" w:pos="1195"/>
              </w:tabs>
              <w:jc w:val="right"/>
              <w:rPr>
                <w:snapToGrid w:val="0"/>
                <w:color w:val="000000"/>
              </w:rPr>
            </w:pPr>
          </w:p>
        </w:tc>
        <w:tc>
          <w:tcPr>
            <w:tcW w:w="270" w:type="dxa"/>
          </w:tcPr>
          <w:p w14:paraId="472ADA31" w14:textId="77777777" w:rsidR="001F62EC" w:rsidRPr="00E74795" w:rsidRDefault="001F62EC" w:rsidP="001F62EC">
            <w:pPr>
              <w:jc w:val="right"/>
              <w:rPr>
                <w:snapToGrid w:val="0"/>
                <w:color w:val="000000"/>
              </w:rPr>
            </w:pPr>
          </w:p>
        </w:tc>
        <w:tc>
          <w:tcPr>
            <w:tcW w:w="1890" w:type="dxa"/>
          </w:tcPr>
          <w:p w14:paraId="5201564D" w14:textId="77777777" w:rsidR="001F62EC" w:rsidRPr="00E74795" w:rsidRDefault="001F62EC" w:rsidP="001F62EC">
            <w:pPr>
              <w:tabs>
                <w:tab w:val="decimal" w:pos="1195"/>
              </w:tabs>
              <w:jc w:val="right"/>
              <w:rPr>
                <w:snapToGrid w:val="0"/>
                <w:color w:val="000000"/>
              </w:rPr>
            </w:pPr>
          </w:p>
        </w:tc>
      </w:tr>
      <w:tr w:rsidR="001F62EC" w:rsidRPr="00EB7BF0" w14:paraId="3C69068D" w14:textId="77777777" w:rsidTr="001F62EC">
        <w:trPr>
          <w:trHeight w:hRule="exact" w:val="230"/>
        </w:trPr>
        <w:tc>
          <w:tcPr>
            <w:tcW w:w="305" w:type="dxa"/>
          </w:tcPr>
          <w:p w14:paraId="1DE23C1B" w14:textId="77777777" w:rsidR="001F62EC" w:rsidRPr="00EB7BF0" w:rsidRDefault="001F62EC" w:rsidP="001F62EC">
            <w:pPr>
              <w:jc w:val="right"/>
              <w:rPr>
                <w:snapToGrid w:val="0"/>
                <w:color w:val="000000"/>
              </w:rPr>
            </w:pPr>
          </w:p>
        </w:tc>
        <w:tc>
          <w:tcPr>
            <w:tcW w:w="5815" w:type="dxa"/>
            <w:gridSpan w:val="2"/>
          </w:tcPr>
          <w:p w14:paraId="0B2889B7" w14:textId="77777777" w:rsidR="001F62EC" w:rsidRPr="00E74795" w:rsidRDefault="001F62EC" w:rsidP="001F62EC">
            <w:pPr>
              <w:tabs>
                <w:tab w:val="left" w:pos="203"/>
              </w:tabs>
              <w:rPr>
                <w:snapToGrid w:val="0"/>
                <w:color w:val="000000"/>
              </w:rPr>
            </w:pPr>
            <w:r>
              <w:rPr>
                <w:snapToGrid w:val="0"/>
                <w:color w:val="000000"/>
              </w:rPr>
              <w:t>Preferred Stock, $.01 par value (Note 9):</w:t>
            </w:r>
          </w:p>
        </w:tc>
        <w:tc>
          <w:tcPr>
            <w:tcW w:w="90" w:type="dxa"/>
          </w:tcPr>
          <w:p w14:paraId="2D37E3E9" w14:textId="77777777" w:rsidR="001F62EC" w:rsidRPr="00E74795" w:rsidRDefault="001F62EC" w:rsidP="001F62EC">
            <w:pPr>
              <w:jc w:val="right"/>
              <w:rPr>
                <w:snapToGrid w:val="0"/>
                <w:color w:val="000000"/>
              </w:rPr>
            </w:pPr>
          </w:p>
        </w:tc>
        <w:tc>
          <w:tcPr>
            <w:tcW w:w="1710" w:type="dxa"/>
          </w:tcPr>
          <w:p w14:paraId="542F1E7C" w14:textId="77777777" w:rsidR="001F62EC" w:rsidRPr="00E74795" w:rsidRDefault="001F62EC" w:rsidP="001F62EC">
            <w:pPr>
              <w:tabs>
                <w:tab w:val="decimal" w:pos="1320"/>
              </w:tabs>
              <w:rPr>
                <w:snapToGrid w:val="0"/>
                <w:color w:val="000000"/>
              </w:rPr>
            </w:pPr>
          </w:p>
        </w:tc>
        <w:tc>
          <w:tcPr>
            <w:tcW w:w="270" w:type="dxa"/>
          </w:tcPr>
          <w:p w14:paraId="2EB167C5" w14:textId="77777777" w:rsidR="001F62EC" w:rsidRPr="00E74795" w:rsidRDefault="001F62EC" w:rsidP="001F62EC">
            <w:pPr>
              <w:jc w:val="right"/>
              <w:rPr>
                <w:snapToGrid w:val="0"/>
                <w:color w:val="000000"/>
              </w:rPr>
            </w:pPr>
          </w:p>
        </w:tc>
        <w:tc>
          <w:tcPr>
            <w:tcW w:w="1890" w:type="dxa"/>
          </w:tcPr>
          <w:p w14:paraId="66E6B98B" w14:textId="77777777" w:rsidR="001F62EC" w:rsidRPr="00E74795" w:rsidRDefault="001F62EC" w:rsidP="001F62EC">
            <w:pPr>
              <w:tabs>
                <w:tab w:val="decimal" w:pos="1500"/>
              </w:tabs>
              <w:rPr>
                <w:snapToGrid w:val="0"/>
                <w:color w:val="000000"/>
              </w:rPr>
            </w:pPr>
          </w:p>
        </w:tc>
      </w:tr>
      <w:tr w:rsidR="001F62EC" w:rsidRPr="00EB7BF0" w14:paraId="4FC57A7F" w14:textId="77777777" w:rsidTr="001F62EC">
        <w:trPr>
          <w:trHeight w:hRule="exact" w:val="230"/>
        </w:trPr>
        <w:tc>
          <w:tcPr>
            <w:tcW w:w="305" w:type="dxa"/>
          </w:tcPr>
          <w:p w14:paraId="242D2F22" w14:textId="77777777" w:rsidR="001F62EC" w:rsidRPr="00EB7BF0" w:rsidRDefault="001F62EC" w:rsidP="001F62EC">
            <w:pPr>
              <w:jc w:val="right"/>
              <w:rPr>
                <w:snapToGrid w:val="0"/>
                <w:color w:val="000000"/>
              </w:rPr>
            </w:pPr>
          </w:p>
        </w:tc>
        <w:tc>
          <w:tcPr>
            <w:tcW w:w="302" w:type="dxa"/>
          </w:tcPr>
          <w:p w14:paraId="7475F202" w14:textId="77777777" w:rsidR="001F62EC" w:rsidRPr="00EB7BF0" w:rsidRDefault="001F62EC" w:rsidP="001F62EC">
            <w:pPr>
              <w:jc w:val="right"/>
              <w:rPr>
                <w:snapToGrid w:val="0"/>
                <w:color w:val="000000"/>
              </w:rPr>
            </w:pPr>
          </w:p>
        </w:tc>
        <w:tc>
          <w:tcPr>
            <w:tcW w:w="5513" w:type="dxa"/>
          </w:tcPr>
          <w:p w14:paraId="6BD21B94" w14:textId="77777777" w:rsidR="001F62EC" w:rsidRPr="00374FE3" w:rsidRDefault="001F62EC" w:rsidP="001F62EC">
            <w:pPr>
              <w:tabs>
                <w:tab w:val="left" w:pos="203"/>
              </w:tabs>
              <w:rPr>
                <w:snapToGrid w:val="0"/>
                <w:color w:val="000000"/>
              </w:rPr>
            </w:pPr>
            <w:r w:rsidRPr="00374FE3">
              <w:rPr>
                <w:snapToGrid w:val="0"/>
                <w:color w:val="000000"/>
              </w:rPr>
              <w:t xml:space="preserve">Authorized shares – </w:t>
            </w:r>
            <w:r>
              <w:rPr>
                <w:snapToGrid w:val="0"/>
                <w:color w:val="000000"/>
              </w:rPr>
              <w:t>1</w:t>
            </w:r>
            <w:r w:rsidRPr="00374FE3">
              <w:rPr>
                <w:snapToGrid w:val="0"/>
                <w:color w:val="000000"/>
              </w:rPr>
              <w:t>0,000,000</w:t>
            </w:r>
          </w:p>
          <w:p w14:paraId="7678E97C" w14:textId="77777777" w:rsidR="001F62EC" w:rsidRPr="00E74795" w:rsidRDefault="001F62EC" w:rsidP="001F62EC">
            <w:pPr>
              <w:tabs>
                <w:tab w:val="left" w:pos="203"/>
              </w:tabs>
              <w:rPr>
                <w:snapToGrid w:val="0"/>
                <w:color w:val="000000"/>
              </w:rPr>
            </w:pPr>
          </w:p>
        </w:tc>
        <w:tc>
          <w:tcPr>
            <w:tcW w:w="90" w:type="dxa"/>
          </w:tcPr>
          <w:p w14:paraId="17A22978" w14:textId="77777777" w:rsidR="001F62EC" w:rsidRPr="00E74795" w:rsidRDefault="001F62EC" w:rsidP="001F62EC">
            <w:pPr>
              <w:jc w:val="right"/>
              <w:rPr>
                <w:snapToGrid w:val="0"/>
                <w:color w:val="000000"/>
              </w:rPr>
            </w:pPr>
          </w:p>
        </w:tc>
        <w:tc>
          <w:tcPr>
            <w:tcW w:w="1710" w:type="dxa"/>
          </w:tcPr>
          <w:p w14:paraId="431D97F7" w14:textId="77777777" w:rsidR="001F62EC" w:rsidRPr="00E74795" w:rsidRDefault="001F62EC" w:rsidP="001F62EC">
            <w:pPr>
              <w:tabs>
                <w:tab w:val="decimal" w:pos="1320"/>
              </w:tabs>
              <w:jc w:val="right"/>
              <w:rPr>
                <w:snapToGrid w:val="0"/>
                <w:color w:val="000000"/>
              </w:rPr>
            </w:pPr>
          </w:p>
        </w:tc>
        <w:tc>
          <w:tcPr>
            <w:tcW w:w="270" w:type="dxa"/>
          </w:tcPr>
          <w:p w14:paraId="615BC17C" w14:textId="77777777" w:rsidR="001F62EC" w:rsidRPr="00E74795" w:rsidRDefault="001F62EC" w:rsidP="001F62EC">
            <w:pPr>
              <w:jc w:val="right"/>
              <w:rPr>
                <w:snapToGrid w:val="0"/>
                <w:color w:val="000000"/>
              </w:rPr>
            </w:pPr>
          </w:p>
        </w:tc>
        <w:tc>
          <w:tcPr>
            <w:tcW w:w="1890" w:type="dxa"/>
          </w:tcPr>
          <w:p w14:paraId="181A9B53" w14:textId="77777777" w:rsidR="001F62EC" w:rsidRPr="00E74795" w:rsidRDefault="001F62EC" w:rsidP="001F62EC">
            <w:pPr>
              <w:tabs>
                <w:tab w:val="decimal" w:pos="1500"/>
              </w:tabs>
              <w:jc w:val="right"/>
              <w:rPr>
                <w:snapToGrid w:val="0"/>
                <w:color w:val="000000"/>
              </w:rPr>
            </w:pPr>
          </w:p>
        </w:tc>
      </w:tr>
      <w:tr w:rsidR="001F62EC" w:rsidRPr="00EB7BF0" w14:paraId="0902F474" w14:textId="77777777" w:rsidTr="001F62EC">
        <w:trPr>
          <w:trHeight w:hRule="exact" w:val="230"/>
        </w:trPr>
        <w:tc>
          <w:tcPr>
            <w:tcW w:w="305" w:type="dxa"/>
          </w:tcPr>
          <w:p w14:paraId="65F92E94" w14:textId="77777777" w:rsidR="001F62EC" w:rsidRPr="00EB7BF0" w:rsidRDefault="001F62EC" w:rsidP="001F62EC">
            <w:pPr>
              <w:jc w:val="right"/>
              <w:rPr>
                <w:snapToGrid w:val="0"/>
                <w:color w:val="000000"/>
              </w:rPr>
            </w:pPr>
          </w:p>
        </w:tc>
        <w:tc>
          <w:tcPr>
            <w:tcW w:w="302" w:type="dxa"/>
          </w:tcPr>
          <w:p w14:paraId="237CD8CE" w14:textId="77777777" w:rsidR="001F62EC" w:rsidRPr="00EB7BF0" w:rsidRDefault="001F62EC" w:rsidP="001F62EC">
            <w:pPr>
              <w:jc w:val="right"/>
              <w:rPr>
                <w:snapToGrid w:val="0"/>
                <w:color w:val="000000"/>
              </w:rPr>
            </w:pPr>
          </w:p>
        </w:tc>
        <w:tc>
          <w:tcPr>
            <w:tcW w:w="5513" w:type="dxa"/>
          </w:tcPr>
          <w:p w14:paraId="0796260A" w14:textId="50365DB3"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4F479E">
              <w:rPr>
                <w:snapToGrid w:val="0"/>
                <w:color w:val="000000"/>
              </w:rPr>
              <w:t>400</w:t>
            </w:r>
            <w:r w:rsidRPr="00374FE3">
              <w:rPr>
                <w:snapToGrid w:val="0"/>
                <w:color w:val="000000"/>
              </w:rPr>
              <w:t xml:space="preserve"> and </w:t>
            </w:r>
            <w:r w:rsidR="004F479E">
              <w:rPr>
                <w:snapToGrid w:val="0"/>
                <w:color w:val="000000"/>
              </w:rPr>
              <w:t>2,486</w:t>
            </w:r>
          </w:p>
        </w:tc>
        <w:tc>
          <w:tcPr>
            <w:tcW w:w="90" w:type="dxa"/>
          </w:tcPr>
          <w:p w14:paraId="263E00E3" w14:textId="77777777" w:rsidR="001F62EC" w:rsidRPr="00E74795" w:rsidRDefault="001F62EC" w:rsidP="001F62EC">
            <w:pPr>
              <w:jc w:val="right"/>
              <w:rPr>
                <w:snapToGrid w:val="0"/>
                <w:color w:val="000000"/>
              </w:rPr>
            </w:pPr>
          </w:p>
        </w:tc>
        <w:tc>
          <w:tcPr>
            <w:tcW w:w="1710" w:type="dxa"/>
          </w:tcPr>
          <w:p w14:paraId="33B4C13C" w14:textId="77777777" w:rsidR="001F62EC" w:rsidRPr="00E74795" w:rsidRDefault="001F62EC" w:rsidP="001F62EC">
            <w:pPr>
              <w:tabs>
                <w:tab w:val="decimal" w:pos="1320"/>
              </w:tabs>
              <w:jc w:val="right"/>
              <w:rPr>
                <w:snapToGrid w:val="0"/>
                <w:color w:val="000000"/>
              </w:rPr>
            </w:pPr>
          </w:p>
        </w:tc>
        <w:tc>
          <w:tcPr>
            <w:tcW w:w="270" w:type="dxa"/>
          </w:tcPr>
          <w:p w14:paraId="3865DA30" w14:textId="77777777" w:rsidR="001F62EC" w:rsidRPr="00E74795" w:rsidRDefault="001F62EC" w:rsidP="001F62EC">
            <w:pPr>
              <w:jc w:val="right"/>
              <w:rPr>
                <w:snapToGrid w:val="0"/>
                <w:color w:val="000000"/>
              </w:rPr>
            </w:pPr>
          </w:p>
        </w:tc>
        <w:tc>
          <w:tcPr>
            <w:tcW w:w="1890" w:type="dxa"/>
          </w:tcPr>
          <w:p w14:paraId="3670308A" w14:textId="77777777" w:rsidR="001F62EC" w:rsidRPr="00E74795" w:rsidRDefault="001F62EC" w:rsidP="001F62EC">
            <w:pPr>
              <w:tabs>
                <w:tab w:val="decimal" w:pos="1500"/>
              </w:tabs>
              <w:jc w:val="right"/>
              <w:rPr>
                <w:snapToGrid w:val="0"/>
                <w:color w:val="000000"/>
              </w:rPr>
            </w:pPr>
          </w:p>
        </w:tc>
      </w:tr>
      <w:tr w:rsidR="001F62EC" w:rsidRPr="00EB7BF0" w14:paraId="7DA59F85" w14:textId="77777777" w:rsidTr="001F62EC">
        <w:trPr>
          <w:trHeight w:hRule="exact" w:val="230"/>
        </w:trPr>
        <w:tc>
          <w:tcPr>
            <w:tcW w:w="305" w:type="dxa"/>
          </w:tcPr>
          <w:p w14:paraId="5168C335" w14:textId="77777777" w:rsidR="001F62EC" w:rsidRPr="00EB7BF0" w:rsidRDefault="001F62EC" w:rsidP="001F62EC">
            <w:pPr>
              <w:jc w:val="right"/>
              <w:rPr>
                <w:snapToGrid w:val="0"/>
                <w:color w:val="000000"/>
              </w:rPr>
            </w:pPr>
          </w:p>
        </w:tc>
        <w:tc>
          <w:tcPr>
            <w:tcW w:w="302" w:type="dxa"/>
          </w:tcPr>
          <w:p w14:paraId="3B15A384" w14:textId="77777777" w:rsidR="001F62EC" w:rsidRPr="00EB7BF0" w:rsidRDefault="001F62EC" w:rsidP="001F62EC">
            <w:pPr>
              <w:jc w:val="right"/>
              <w:rPr>
                <w:snapToGrid w:val="0"/>
                <w:color w:val="000000"/>
              </w:rPr>
            </w:pPr>
          </w:p>
        </w:tc>
        <w:tc>
          <w:tcPr>
            <w:tcW w:w="5513" w:type="dxa"/>
          </w:tcPr>
          <w:p w14:paraId="482EE1EF" w14:textId="5EC6EDDB" w:rsidR="001F62EC" w:rsidRPr="00E74795" w:rsidRDefault="001F62EC" w:rsidP="001F62EC">
            <w:pPr>
              <w:tabs>
                <w:tab w:val="left" w:pos="203"/>
              </w:tabs>
              <w:rPr>
                <w:snapToGrid w:val="0"/>
                <w:color w:val="000000"/>
              </w:rPr>
            </w:pPr>
            <w:r w:rsidRPr="00374FE3">
              <w:rPr>
                <w:snapToGrid w:val="0"/>
                <w:color w:val="000000"/>
              </w:rPr>
              <w:tab/>
            </w:r>
            <w:r w:rsidR="004F479E">
              <w:rPr>
                <w:snapToGrid w:val="0"/>
                <w:color w:val="000000"/>
              </w:rPr>
              <w:t>March</w:t>
            </w:r>
            <w:r w:rsidRPr="00374FE3">
              <w:rPr>
                <w:snapToGrid w:val="0"/>
                <w:color w:val="000000"/>
              </w:rPr>
              <w:t xml:space="preserve"> 3</w:t>
            </w:r>
            <w:r w:rsidR="004F479E">
              <w:rPr>
                <w:snapToGrid w:val="0"/>
                <w:color w:val="000000"/>
              </w:rPr>
              <w:t>1</w:t>
            </w:r>
            <w:r w:rsidRPr="00374FE3">
              <w:rPr>
                <w:snapToGrid w:val="0"/>
                <w:color w:val="000000"/>
              </w:rPr>
              <w:t>, 20</w:t>
            </w:r>
            <w:r w:rsidR="004F479E">
              <w:rPr>
                <w:snapToGrid w:val="0"/>
                <w:color w:val="000000"/>
              </w:rPr>
              <w:t>20</w:t>
            </w:r>
            <w:r w:rsidRPr="00374FE3">
              <w:rPr>
                <w:snapToGrid w:val="0"/>
                <w:color w:val="000000"/>
              </w:rPr>
              <w:t xml:space="preserve"> and </w:t>
            </w:r>
            <w:r>
              <w:rPr>
                <w:snapToGrid w:val="0"/>
                <w:color w:val="000000"/>
              </w:rPr>
              <w:t xml:space="preserve">December 31, </w:t>
            </w:r>
            <w:r w:rsidRPr="00374FE3">
              <w:rPr>
                <w:snapToGrid w:val="0"/>
                <w:color w:val="000000"/>
              </w:rPr>
              <w:t>201</w:t>
            </w:r>
            <w:r w:rsidR="004F479E">
              <w:rPr>
                <w:snapToGrid w:val="0"/>
                <w:color w:val="000000"/>
              </w:rPr>
              <w:t>9</w:t>
            </w:r>
            <w:r w:rsidRPr="00374FE3">
              <w:rPr>
                <w:snapToGrid w:val="0"/>
                <w:color w:val="000000"/>
              </w:rPr>
              <w:t>, respectively</w:t>
            </w:r>
          </w:p>
        </w:tc>
        <w:tc>
          <w:tcPr>
            <w:tcW w:w="90" w:type="dxa"/>
          </w:tcPr>
          <w:p w14:paraId="499E65A4" w14:textId="77777777" w:rsidR="001F62EC" w:rsidRPr="00E74795" w:rsidRDefault="001F62EC" w:rsidP="001F62EC">
            <w:pPr>
              <w:jc w:val="right"/>
              <w:rPr>
                <w:snapToGrid w:val="0"/>
                <w:color w:val="000000"/>
              </w:rPr>
            </w:pPr>
          </w:p>
        </w:tc>
        <w:tc>
          <w:tcPr>
            <w:tcW w:w="1710" w:type="dxa"/>
          </w:tcPr>
          <w:p w14:paraId="5CAE19EC" w14:textId="07FE55FA" w:rsidR="001F62EC" w:rsidRPr="00E74795" w:rsidRDefault="00E53694" w:rsidP="001F62EC">
            <w:pPr>
              <w:tabs>
                <w:tab w:val="decimal" w:pos="1320"/>
              </w:tabs>
              <w:rPr>
                <w:snapToGrid w:val="0"/>
                <w:color w:val="000000"/>
              </w:rPr>
            </w:pPr>
            <w:r>
              <w:rPr>
                <w:snapToGrid w:val="0"/>
                <w:color w:val="000000"/>
              </w:rPr>
              <w:t>376,095</w:t>
            </w:r>
          </w:p>
        </w:tc>
        <w:tc>
          <w:tcPr>
            <w:tcW w:w="270" w:type="dxa"/>
          </w:tcPr>
          <w:p w14:paraId="1E25484E" w14:textId="77777777" w:rsidR="001F62EC" w:rsidRPr="00E74795" w:rsidRDefault="001F62EC" w:rsidP="001F62EC">
            <w:pPr>
              <w:jc w:val="right"/>
              <w:rPr>
                <w:snapToGrid w:val="0"/>
                <w:color w:val="000000"/>
              </w:rPr>
            </w:pPr>
          </w:p>
        </w:tc>
        <w:tc>
          <w:tcPr>
            <w:tcW w:w="1890" w:type="dxa"/>
          </w:tcPr>
          <w:p w14:paraId="17539C73" w14:textId="6B62A54D" w:rsidR="001F62EC" w:rsidRPr="00E74795" w:rsidRDefault="001F62EC" w:rsidP="001F62EC">
            <w:pPr>
              <w:tabs>
                <w:tab w:val="decimal" w:pos="1500"/>
              </w:tabs>
              <w:rPr>
                <w:snapToGrid w:val="0"/>
                <w:color w:val="000000"/>
              </w:rPr>
            </w:pPr>
            <w:r>
              <w:rPr>
                <w:snapToGrid w:val="0"/>
                <w:color w:val="000000"/>
              </w:rPr>
              <w:t>1,9</w:t>
            </w:r>
            <w:r w:rsidR="00011002">
              <w:rPr>
                <w:snapToGrid w:val="0"/>
                <w:color w:val="000000"/>
              </w:rPr>
              <w:t>32,433</w:t>
            </w:r>
          </w:p>
        </w:tc>
      </w:tr>
      <w:tr w:rsidR="001F62EC" w:rsidRPr="00EB7BF0" w14:paraId="4BD2BC56" w14:textId="77777777" w:rsidTr="001F62EC">
        <w:trPr>
          <w:trHeight w:hRule="exact" w:val="230"/>
        </w:trPr>
        <w:tc>
          <w:tcPr>
            <w:tcW w:w="305" w:type="dxa"/>
          </w:tcPr>
          <w:p w14:paraId="55E5B6EA" w14:textId="77777777" w:rsidR="001F62EC" w:rsidRPr="00EB7BF0" w:rsidRDefault="001F62EC" w:rsidP="001F62EC">
            <w:pPr>
              <w:jc w:val="right"/>
              <w:rPr>
                <w:snapToGrid w:val="0"/>
                <w:color w:val="000000"/>
              </w:rPr>
            </w:pPr>
          </w:p>
        </w:tc>
        <w:tc>
          <w:tcPr>
            <w:tcW w:w="5815" w:type="dxa"/>
            <w:gridSpan w:val="2"/>
          </w:tcPr>
          <w:p w14:paraId="68A703C0" w14:textId="77777777" w:rsidR="001F62EC" w:rsidRPr="00E74795" w:rsidRDefault="001F62EC" w:rsidP="001F62EC">
            <w:pPr>
              <w:rPr>
                <w:snapToGrid w:val="0"/>
                <w:color w:val="000000"/>
              </w:rPr>
            </w:pPr>
            <w:r w:rsidRPr="00374FE3">
              <w:rPr>
                <w:snapToGrid w:val="0"/>
                <w:color w:val="000000"/>
              </w:rPr>
              <w:t>Common stock, $.001 par value:</w:t>
            </w:r>
          </w:p>
        </w:tc>
        <w:tc>
          <w:tcPr>
            <w:tcW w:w="90" w:type="dxa"/>
          </w:tcPr>
          <w:p w14:paraId="6A47C74C" w14:textId="77777777" w:rsidR="001F62EC" w:rsidRPr="00E74795" w:rsidRDefault="001F62EC" w:rsidP="001F62EC">
            <w:pPr>
              <w:jc w:val="right"/>
              <w:rPr>
                <w:snapToGrid w:val="0"/>
                <w:color w:val="000000"/>
              </w:rPr>
            </w:pPr>
          </w:p>
        </w:tc>
        <w:tc>
          <w:tcPr>
            <w:tcW w:w="1710" w:type="dxa"/>
          </w:tcPr>
          <w:p w14:paraId="5EB593B0" w14:textId="77777777" w:rsidR="001F62EC" w:rsidRPr="00E74795" w:rsidRDefault="001F62EC" w:rsidP="001F62EC">
            <w:pPr>
              <w:tabs>
                <w:tab w:val="decimal" w:pos="1320"/>
              </w:tabs>
              <w:jc w:val="right"/>
              <w:rPr>
                <w:snapToGrid w:val="0"/>
                <w:color w:val="000000"/>
              </w:rPr>
            </w:pPr>
          </w:p>
        </w:tc>
        <w:tc>
          <w:tcPr>
            <w:tcW w:w="270" w:type="dxa"/>
          </w:tcPr>
          <w:p w14:paraId="76EFA20C" w14:textId="77777777" w:rsidR="001F62EC" w:rsidRPr="00E74795" w:rsidRDefault="001F62EC" w:rsidP="001F62EC">
            <w:pPr>
              <w:jc w:val="right"/>
              <w:rPr>
                <w:snapToGrid w:val="0"/>
                <w:color w:val="000000"/>
              </w:rPr>
            </w:pPr>
          </w:p>
        </w:tc>
        <w:tc>
          <w:tcPr>
            <w:tcW w:w="1890" w:type="dxa"/>
          </w:tcPr>
          <w:p w14:paraId="6228A1C4" w14:textId="77777777" w:rsidR="001F62EC" w:rsidRPr="00E74795" w:rsidRDefault="001F62EC" w:rsidP="001F62EC">
            <w:pPr>
              <w:tabs>
                <w:tab w:val="decimal" w:pos="1500"/>
              </w:tabs>
              <w:jc w:val="right"/>
              <w:rPr>
                <w:snapToGrid w:val="0"/>
                <w:color w:val="000000"/>
              </w:rPr>
            </w:pPr>
          </w:p>
        </w:tc>
      </w:tr>
      <w:tr w:rsidR="001F62EC" w:rsidRPr="00EB7BF0" w14:paraId="5D049822" w14:textId="77777777" w:rsidTr="001F62EC">
        <w:trPr>
          <w:trHeight w:hRule="exact" w:val="230"/>
        </w:trPr>
        <w:tc>
          <w:tcPr>
            <w:tcW w:w="305" w:type="dxa"/>
          </w:tcPr>
          <w:p w14:paraId="6E900ACD" w14:textId="77777777" w:rsidR="001F62EC" w:rsidRPr="00EB7BF0" w:rsidRDefault="001F62EC" w:rsidP="001F62EC">
            <w:pPr>
              <w:jc w:val="right"/>
              <w:rPr>
                <w:snapToGrid w:val="0"/>
                <w:color w:val="000000"/>
              </w:rPr>
            </w:pPr>
            <w:bookmarkStart w:id="6" w:name="_Hlk12541074"/>
          </w:p>
        </w:tc>
        <w:tc>
          <w:tcPr>
            <w:tcW w:w="302" w:type="dxa"/>
          </w:tcPr>
          <w:p w14:paraId="26FB5954" w14:textId="77777777" w:rsidR="001F62EC" w:rsidRPr="00EB7BF0" w:rsidRDefault="001F62EC" w:rsidP="001F62EC">
            <w:pPr>
              <w:jc w:val="right"/>
              <w:rPr>
                <w:snapToGrid w:val="0"/>
                <w:color w:val="000000"/>
              </w:rPr>
            </w:pPr>
          </w:p>
        </w:tc>
        <w:tc>
          <w:tcPr>
            <w:tcW w:w="5513" w:type="dxa"/>
          </w:tcPr>
          <w:p w14:paraId="139EB2ED" w14:textId="77777777" w:rsidR="001F62EC" w:rsidRPr="00374FE3" w:rsidRDefault="001F62EC" w:rsidP="001F62EC">
            <w:pPr>
              <w:tabs>
                <w:tab w:val="left" w:pos="203"/>
              </w:tabs>
              <w:rPr>
                <w:snapToGrid w:val="0"/>
                <w:color w:val="000000"/>
              </w:rPr>
            </w:pPr>
            <w:r w:rsidRPr="00374FE3">
              <w:rPr>
                <w:snapToGrid w:val="0"/>
                <w:color w:val="000000"/>
              </w:rPr>
              <w:t>Authorized shares – 600,000,000</w:t>
            </w:r>
          </w:p>
          <w:p w14:paraId="4A42E58B" w14:textId="77777777" w:rsidR="001F62EC" w:rsidRPr="00E74795" w:rsidRDefault="001F62EC" w:rsidP="001F62EC">
            <w:pPr>
              <w:tabs>
                <w:tab w:val="left" w:pos="203"/>
              </w:tabs>
              <w:rPr>
                <w:snapToGrid w:val="0"/>
                <w:color w:val="000000"/>
              </w:rPr>
            </w:pPr>
          </w:p>
        </w:tc>
        <w:tc>
          <w:tcPr>
            <w:tcW w:w="90" w:type="dxa"/>
          </w:tcPr>
          <w:p w14:paraId="036CEF39" w14:textId="77777777" w:rsidR="001F62EC" w:rsidRPr="00E74795" w:rsidRDefault="001F62EC" w:rsidP="001F62EC">
            <w:pPr>
              <w:jc w:val="right"/>
              <w:rPr>
                <w:snapToGrid w:val="0"/>
                <w:color w:val="000000"/>
              </w:rPr>
            </w:pPr>
          </w:p>
        </w:tc>
        <w:tc>
          <w:tcPr>
            <w:tcW w:w="1710" w:type="dxa"/>
          </w:tcPr>
          <w:p w14:paraId="05221C80" w14:textId="77777777" w:rsidR="001F62EC" w:rsidRPr="00E74795" w:rsidRDefault="001F62EC" w:rsidP="001F62EC">
            <w:pPr>
              <w:tabs>
                <w:tab w:val="decimal" w:pos="1320"/>
              </w:tabs>
              <w:jc w:val="right"/>
              <w:rPr>
                <w:snapToGrid w:val="0"/>
                <w:color w:val="000000"/>
              </w:rPr>
            </w:pPr>
          </w:p>
        </w:tc>
        <w:tc>
          <w:tcPr>
            <w:tcW w:w="270" w:type="dxa"/>
          </w:tcPr>
          <w:p w14:paraId="08AC1639" w14:textId="77777777" w:rsidR="001F62EC" w:rsidRPr="00E74795" w:rsidRDefault="001F62EC" w:rsidP="001F62EC">
            <w:pPr>
              <w:jc w:val="right"/>
              <w:rPr>
                <w:snapToGrid w:val="0"/>
                <w:color w:val="000000"/>
              </w:rPr>
            </w:pPr>
          </w:p>
        </w:tc>
        <w:tc>
          <w:tcPr>
            <w:tcW w:w="1890" w:type="dxa"/>
          </w:tcPr>
          <w:p w14:paraId="4CDD3344" w14:textId="77777777" w:rsidR="001F62EC" w:rsidRPr="00E74795" w:rsidRDefault="001F62EC" w:rsidP="001F62EC">
            <w:pPr>
              <w:tabs>
                <w:tab w:val="decimal" w:pos="1500"/>
              </w:tabs>
              <w:jc w:val="right"/>
              <w:rPr>
                <w:snapToGrid w:val="0"/>
                <w:color w:val="000000"/>
              </w:rPr>
            </w:pPr>
          </w:p>
        </w:tc>
      </w:tr>
      <w:tr w:rsidR="001F62EC" w:rsidRPr="00EB7BF0" w14:paraId="16FC72ED" w14:textId="77777777" w:rsidTr="001F62EC">
        <w:trPr>
          <w:trHeight w:hRule="exact" w:val="230"/>
        </w:trPr>
        <w:tc>
          <w:tcPr>
            <w:tcW w:w="305" w:type="dxa"/>
          </w:tcPr>
          <w:p w14:paraId="144D47CA" w14:textId="77777777" w:rsidR="001F62EC" w:rsidRPr="00EB7BF0" w:rsidRDefault="001F62EC" w:rsidP="001F62EC">
            <w:pPr>
              <w:jc w:val="right"/>
              <w:rPr>
                <w:snapToGrid w:val="0"/>
                <w:color w:val="000000"/>
              </w:rPr>
            </w:pPr>
          </w:p>
        </w:tc>
        <w:tc>
          <w:tcPr>
            <w:tcW w:w="302" w:type="dxa"/>
          </w:tcPr>
          <w:p w14:paraId="73C7D863" w14:textId="77777777" w:rsidR="001F62EC" w:rsidRPr="00EB7BF0" w:rsidRDefault="001F62EC" w:rsidP="001F62EC">
            <w:pPr>
              <w:jc w:val="right"/>
              <w:rPr>
                <w:snapToGrid w:val="0"/>
                <w:color w:val="000000"/>
              </w:rPr>
            </w:pPr>
          </w:p>
        </w:tc>
        <w:tc>
          <w:tcPr>
            <w:tcW w:w="5513" w:type="dxa"/>
          </w:tcPr>
          <w:p w14:paraId="54C53D28" w14:textId="257F8C45"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F67419">
              <w:rPr>
                <w:snapToGrid w:val="0"/>
                <w:color w:val="000000"/>
              </w:rPr>
              <w:t>13,791,601</w:t>
            </w:r>
            <w:r w:rsidRPr="00374FE3">
              <w:rPr>
                <w:snapToGrid w:val="0"/>
                <w:color w:val="000000"/>
              </w:rPr>
              <w:t xml:space="preserve"> and </w:t>
            </w:r>
            <w:r w:rsidR="004F479E">
              <w:rPr>
                <w:snapToGrid w:val="0"/>
                <w:color w:val="000000"/>
              </w:rPr>
              <w:t>299,835</w:t>
            </w:r>
            <w:r w:rsidRPr="00374FE3">
              <w:rPr>
                <w:snapToGrid w:val="0"/>
                <w:color w:val="000000"/>
              </w:rPr>
              <w:t xml:space="preserve"> at</w:t>
            </w:r>
          </w:p>
        </w:tc>
        <w:tc>
          <w:tcPr>
            <w:tcW w:w="90" w:type="dxa"/>
          </w:tcPr>
          <w:p w14:paraId="2DC816A7" w14:textId="77777777" w:rsidR="001F62EC" w:rsidRPr="00E74795" w:rsidRDefault="001F62EC" w:rsidP="001F62EC">
            <w:pPr>
              <w:jc w:val="right"/>
              <w:rPr>
                <w:snapToGrid w:val="0"/>
                <w:color w:val="000000"/>
              </w:rPr>
            </w:pPr>
          </w:p>
        </w:tc>
        <w:tc>
          <w:tcPr>
            <w:tcW w:w="1710" w:type="dxa"/>
          </w:tcPr>
          <w:p w14:paraId="7019C674" w14:textId="77777777" w:rsidR="001F62EC" w:rsidRPr="00E74795" w:rsidRDefault="001F62EC" w:rsidP="001F62EC">
            <w:pPr>
              <w:tabs>
                <w:tab w:val="decimal" w:pos="1320"/>
              </w:tabs>
              <w:jc w:val="right"/>
              <w:rPr>
                <w:snapToGrid w:val="0"/>
                <w:color w:val="000000"/>
              </w:rPr>
            </w:pPr>
          </w:p>
        </w:tc>
        <w:tc>
          <w:tcPr>
            <w:tcW w:w="270" w:type="dxa"/>
          </w:tcPr>
          <w:p w14:paraId="27DF3C6A" w14:textId="77777777" w:rsidR="001F62EC" w:rsidRPr="00E74795" w:rsidRDefault="001F62EC" w:rsidP="001F62EC">
            <w:pPr>
              <w:jc w:val="right"/>
              <w:rPr>
                <w:snapToGrid w:val="0"/>
                <w:color w:val="000000"/>
              </w:rPr>
            </w:pPr>
          </w:p>
        </w:tc>
        <w:tc>
          <w:tcPr>
            <w:tcW w:w="1890" w:type="dxa"/>
          </w:tcPr>
          <w:p w14:paraId="3A1D741E" w14:textId="77777777" w:rsidR="001F62EC" w:rsidRPr="00E74795" w:rsidRDefault="001F62EC" w:rsidP="001F62EC">
            <w:pPr>
              <w:tabs>
                <w:tab w:val="decimal" w:pos="1500"/>
              </w:tabs>
              <w:jc w:val="right"/>
              <w:rPr>
                <w:snapToGrid w:val="0"/>
                <w:color w:val="000000"/>
              </w:rPr>
            </w:pPr>
          </w:p>
        </w:tc>
      </w:tr>
      <w:tr w:rsidR="001F62EC" w:rsidRPr="00EB7BF0" w14:paraId="460C9D96" w14:textId="77777777" w:rsidTr="001F62EC">
        <w:trPr>
          <w:trHeight w:hRule="exact" w:val="230"/>
        </w:trPr>
        <w:tc>
          <w:tcPr>
            <w:tcW w:w="305" w:type="dxa"/>
          </w:tcPr>
          <w:p w14:paraId="6DD1A145" w14:textId="77777777" w:rsidR="001F62EC" w:rsidRPr="00EB7BF0" w:rsidRDefault="001F62EC" w:rsidP="001F62EC">
            <w:pPr>
              <w:jc w:val="right"/>
              <w:rPr>
                <w:snapToGrid w:val="0"/>
                <w:color w:val="000000"/>
              </w:rPr>
            </w:pPr>
          </w:p>
        </w:tc>
        <w:tc>
          <w:tcPr>
            <w:tcW w:w="302" w:type="dxa"/>
          </w:tcPr>
          <w:p w14:paraId="1E24D698" w14:textId="77777777" w:rsidR="001F62EC" w:rsidRPr="00EB7BF0" w:rsidRDefault="001F62EC" w:rsidP="001F62EC">
            <w:pPr>
              <w:jc w:val="right"/>
              <w:rPr>
                <w:snapToGrid w:val="0"/>
                <w:color w:val="000000"/>
              </w:rPr>
            </w:pPr>
          </w:p>
        </w:tc>
        <w:tc>
          <w:tcPr>
            <w:tcW w:w="5513" w:type="dxa"/>
          </w:tcPr>
          <w:p w14:paraId="064948E2" w14:textId="025A604D" w:rsidR="001F62EC" w:rsidRPr="00E74795" w:rsidRDefault="001F62EC" w:rsidP="001F62EC">
            <w:pPr>
              <w:tabs>
                <w:tab w:val="left" w:pos="203"/>
              </w:tabs>
              <w:rPr>
                <w:snapToGrid w:val="0"/>
                <w:color w:val="000000"/>
              </w:rPr>
            </w:pPr>
            <w:r w:rsidRPr="00374FE3">
              <w:rPr>
                <w:snapToGrid w:val="0"/>
                <w:color w:val="000000"/>
              </w:rPr>
              <w:tab/>
            </w:r>
            <w:r w:rsidR="004F479E">
              <w:rPr>
                <w:snapToGrid w:val="0"/>
                <w:color w:val="000000"/>
              </w:rPr>
              <w:t>March</w:t>
            </w:r>
            <w:r w:rsidRPr="00374FE3">
              <w:rPr>
                <w:snapToGrid w:val="0"/>
                <w:color w:val="000000"/>
              </w:rPr>
              <w:t xml:space="preserve"> 3</w:t>
            </w:r>
            <w:r w:rsidR="004F479E">
              <w:rPr>
                <w:snapToGrid w:val="0"/>
                <w:color w:val="000000"/>
              </w:rPr>
              <w:t>1</w:t>
            </w:r>
            <w:r w:rsidRPr="00374FE3">
              <w:rPr>
                <w:snapToGrid w:val="0"/>
                <w:color w:val="000000"/>
              </w:rPr>
              <w:t>, 20</w:t>
            </w:r>
            <w:r w:rsidR="004F479E">
              <w:rPr>
                <w:snapToGrid w:val="0"/>
                <w:color w:val="000000"/>
              </w:rPr>
              <w:t>20</w:t>
            </w:r>
            <w:r w:rsidRPr="00374FE3">
              <w:rPr>
                <w:snapToGrid w:val="0"/>
                <w:color w:val="000000"/>
              </w:rPr>
              <w:t xml:space="preserve"> and </w:t>
            </w:r>
            <w:r>
              <w:rPr>
                <w:snapToGrid w:val="0"/>
                <w:color w:val="000000"/>
              </w:rPr>
              <w:t xml:space="preserve">December 31, </w:t>
            </w:r>
            <w:r w:rsidRPr="00374FE3">
              <w:rPr>
                <w:snapToGrid w:val="0"/>
                <w:color w:val="000000"/>
              </w:rPr>
              <w:t>201</w:t>
            </w:r>
            <w:r w:rsidR="004F479E">
              <w:rPr>
                <w:snapToGrid w:val="0"/>
                <w:color w:val="000000"/>
              </w:rPr>
              <w:t>9</w:t>
            </w:r>
            <w:r w:rsidRPr="00374FE3">
              <w:rPr>
                <w:snapToGrid w:val="0"/>
                <w:color w:val="000000"/>
              </w:rPr>
              <w:t>, respectively</w:t>
            </w:r>
          </w:p>
        </w:tc>
        <w:tc>
          <w:tcPr>
            <w:tcW w:w="90" w:type="dxa"/>
          </w:tcPr>
          <w:p w14:paraId="447DBA67" w14:textId="77777777" w:rsidR="001F62EC" w:rsidRPr="00E74795" w:rsidRDefault="001F62EC" w:rsidP="001F62EC">
            <w:pPr>
              <w:jc w:val="right"/>
              <w:rPr>
                <w:snapToGrid w:val="0"/>
                <w:color w:val="000000"/>
              </w:rPr>
            </w:pPr>
          </w:p>
        </w:tc>
        <w:tc>
          <w:tcPr>
            <w:tcW w:w="1710" w:type="dxa"/>
          </w:tcPr>
          <w:p w14:paraId="2664D304" w14:textId="13AEED5C" w:rsidR="001F62EC" w:rsidRPr="00E74795" w:rsidRDefault="00F67419" w:rsidP="001F62EC">
            <w:pPr>
              <w:tabs>
                <w:tab w:val="decimal" w:pos="1320"/>
              </w:tabs>
              <w:rPr>
                <w:snapToGrid w:val="0"/>
                <w:color w:val="000000"/>
              </w:rPr>
            </w:pPr>
            <w:r>
              <w:rPr>
                <w:snapToGrid w:val="0"/>
                <w:color w:val="000000"/>
              </w:rPr>
              <w:t>13,792</w:t>
            </w:r>
          </w:p>
        </w:tc>
        <w:tc>
          <w:tcPr>
            <w:tcW w:w="270" w:type="dxa"/>
          </w:tcPr>
          <w:p w14:paraId="050012E1" w14:textId="77777777" w:rsidR="001F62EC" w:rsidRPr="00E74795" w:rsidRDefault="001F62EC" w:rsidP="001F62EC">
            <w:pPr>
              <w:jc w:val="right"/>
              <w:rPr>
                <w:snapToGrid w:val="0"/>
                <w:color w:val="000000"/>
              </w:rPr>
            </w:pPr>
          </w:p>
        </w:tc>
        <w:tc>
          <w:tcPr>
            <w:tcW w:w="1890" w:type="dxa"/>
          </w:tcPr>
          <w:p w14:paraId="6EE0EDB8" w14:textId="62A7CAB7" w:rsidR="001F62EC" w:rsidRPr="00E74795" w:rsidRDefault="00011002" w:rsidP="001F62EC">
            <w:pPr>
              <w:tabs>
                <w:tab w:val="decimal" w:pos="1500"/>
              </w:tabs>
              <w:rPr>
                <w:snapToGrid w:val="0"/>
                <w:color w:val="000000"/>
              </w:rPr>
            </w:pPr>
            <w:r>
              <w:rPr>
                <w:snapToGrid w:val="0"/>
                <w:color w:val="000000"/>
              </w:rPr>
              <w:t>300</w:t>
            </w:r>
          </w:p>
        </w:tc>
      </w:tr>
      <w:bookmarkEnd w:id="6"/>
      <w:tr w:rsidR="001F62EC" w:rsidRPr="00EB7BF0" w14:paraId="60ABCF47" w14:textId="77777777" w:rsidTr="001F62EC">
        <w:trPr>
          <w:trHeight w:hRule="exact" w:val="230"/>
        </w:trPr>
        <w:tc>
          <w:tcPr>
            <w:tcW w:w="305" w:type="dxa"/>
          </w:tcPr>
          <w:p w14:paraId="6D065323" w14:textId="77777777" w:rsidR="001F62EC" w:rsidRPr="00EB7BF0" w:rsidRDefault="001F62EC" w:rsidP="001F62EC">
            <w:pPr>
              <w:jc w:val="right"/>
              <w:rPr>
                <w:snapToGrid w:val="0"/>
                <w:color w:val="000000"/>
              </w:rPr>
            </w:pPr>
          </w:p>
        </w:tc>
        <w:tc>
          <w:tcPr>
            <w:tcW w:w="5815" w:type="dxa"/>
            <w:gridSpan w:val="2"/>
          </w:tcPr>
          <w:p w14:paraId="26B06924" w14:textId="77777777" w:rsidR="001F62EC" w:rsidRPr="00E74795" w:rsidRDefault="001F62EC" w:rsidP="001F62EC">
            <w:pPr>
              <w:rPr>
                <w:snapToGrid w:val="0"/>
                <w:color w:val="000000"/>
              </w:rPr>
            </w:pPr>
            <w:r w:rsidRPr="00374FE3">
              <w:rPr>
                <w:snapToGrid w:val="0"/>
                <w:color w:val="000000"/>
              </w:rPr>
              <w:t>Additional paid-in capital</w:t>
            </w:r>
          </w:p>
        </w:tc>
        <w:tc>
          <w:tcPr>
            <w:tcW w:w="90" w:type="dxa"/>
          </w:tcPr>
          <w:p w14:paraId="58BE54A1" w14:textId="77777777" w:rsidR="001F62EC" w:rsidRPr="00E74795" w:rsidRDefault="001F62EC" w:rsidP="001F62EC">
            <w:pPr>
              <w:jc w:val="right"/>
              <w:rPr>
                <w:snapToGrid w:val="0"/>
                <w:color w:val="000000"/>
              </w:rPr>
            </w:pPr>
          </w:p>
        </w:tc>
        <w:tc>
          <w:tcPr>
            <w:tcW w:w="1710" w:type="dxa"/>
          </w:tcPr>
          <w:p w14:paraId="18C19A6E" w14:textId="47E16857" w:rsidR="001F62EC" w:rsidRPr="00E74795" w:rsidRDefault="00F67419" w:rsidP="001F62EC">
            <w:pPr>
              <w:tabs>
                <w:tab w:val="decimal" w:pos="1320"/>
              </w:tabs>
              <w:rPr>
                <w:snapToGrid w:val="0"/>
                <w:color w:val="000000"/>
              </w:rPr>
            </w:pPr>
            <w:r>
              <w:rPr>
                <w:snapToGrid w:val="0"/>
                <w:color w:val="000000"/>
              </w:rPr>
              <w:t>41,189,070</w:t>
            </w:r>
          </w:p>
        </w:tc>
        <w:tc>
          <w:tcPr>
            <w:tcW w:w="270" w:type="dxa"/>
          </w:tcPr>
          <w:p w14:paraId="564E1DB0" w14:textId="77777777" w:rsidR="001F62EC" w:rsidRPr="00E74795" w:rsidRDefault="001F62EC" w:rsidP="001F62EC">
            <w:pPr>
              <w:jc w:val="right"/>
              <w:rPr>
                <w:snapToGrid w:val="0"/>
                <w:color w:val="000000"/>
              </w:rPr>
            </w:pPr>
          </w:p>
        </w:tc>
        <w:tc>
          <w:tcPr>
            <w:tcW w:w="1890" w:type="dxa"/>
          </w:tcPr>
          <w:p w14:paraId="0DD5DDD4" w14:textId="0BDD1615" w:rsidR="001F62EC" w:rsidRPr="00E74795" w:rsidRDefault="00011002" w:rsidP="001F62EC">
            <w:pPr>
              <w:tabs>
                <w:tab w:val="decimal" w:pos="1500"/>
              </w:tabs>
              <w:rPr>
                <w:snapToGrid w:val="0"/>
                <w:color w:val="000000"/>
              </w:rPr>
            </w:pPr>
            <w:r>
              <w:rPr>
                <w:snapToGrid w:val="0"/>
                <w:color w:val="000000"/>
              </w:rPr>
              <w:t>39,340,224</w:t>
            </w:r>
          </w:p>
        </w:tc>
      </w:tr>
      <w:tr w:rsidR="001F62EC" w:rsidRPr="00EB7BF0" w14:paraId="29013898" w14:textId="77777777" w:rsidTr="001F62EC">
        <w:trPr>
          <w:trHeight w:hRule="exact" w:val="230"/>
        </w:trPr>
        <w:tc>
          <w:tcPr>
            <w:tcW w:w="305" w:type="dxa"/>
          </w:tcPr>
          <w:p w14:paraId="3A3BB8A6" w14:textId="77777777" w:rsidR="001F62EC" w:rsidRPr="00EB7BF0" w:rsidRDefault="001F62EC" w:rsidP="001F62EC">
            <w:pPr>
              <w:jc w:val="right"/>
              <w:rPr>
                <w:snapToGrid w:val="0"/>
                <w:color w:val="000000"/>
              </w:rPr>
            </w:pPr>
          </w:p>
        </w:tc>
        <w:tc>
          <w:tcPr>
            <w:tcW w:w="5815" w:type="dxa"/>
            <w:gridSpan w:val="2"/>
          </w:tcPr>
          <w:p w14:paraId="20279AB0" w14:textId="77777777" w:rsidR="001F62EC" w:rsidRPr="00E74795" w:rsidRDefault="001F62EC" w:rsidP="001F62EC">
            <w:pPr>
              <w:rPr>
                <w:snapToGrid w:val="0"/>
                <w:color w:val="000000"/>
              </w:rPr>
            </w:pPr>
            <w:r w:rsidRPr="00374FE3">
              <w:rPr>
                <w:snapToGrid w:val="0"/>
                <w:color w:val="000000"/>
              </w:rPr>
              <w:t>Accumulated deficit</w:t>
            </w:r>
          </w:p>
        </w:tc>
        <w:tc>
          <w:tcPr>
            <w:tcW w:w="90" w:type="dxa"/>
          </w:tcPr>
          <w:p w14:paraId="2A66185F"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9C1C476" w14:textId="303014A0" w:rsidR="001F62EC" w:rsidRPr="00E74795" w:rsidRDefault="00F67419" w:rsidP="001F62EC">
            <w:pPr>
              <w:tabs>
                <w:tab w:val="decimal" w:pos="1320"/>
              </w:tabs>
              <w:rPr>
                <w:snapToGrid w:val="0"/>
                <w:color w:val="000000"/>
              </w:rPr>
            </w:pPr>
            <w:r>
              <w:rPr>
                <w:snapToGrid w:val="0"/>
                <w:color w:val="000000"/>
              </w:rPr>
              <w:t>(43,443,207)</w:t>
            </w:r>
          </w:p>
        </w:tc>
        <w:tc>
          <w:tcPr>
            <w:tcW w:w="270" w:type="dxa"/>
          </w:tcPr>
          <w:p w14:paraId="099AB571" w14:textId="77777777" w:rsidR="001F62EC" w:rsidRPr="00E74795" w:rsidRDefault="001F62EC" w:rsidP="001F62EC">
            <w:pPr>
              <w:jc w:val="right"/>
              <w:rPr>
                <w:snapToGrid w:val="0"/>
                <w:color w:val="000000"/>
              </w:rPr>
            </w:pPr>
          </w:p>
        </w:tc>
        <w:tc>
          <w:tcPr>
            <w:tcW w:w="1890" w:type="dxa"/>
            <w:tcBorders>
              <w:bottom w:val="single" w:sz="4" w:space="0" w:color="auto"/>
            </w:tcBorders>
          </w:tcPr>
          <w:p w14:paraId="0F2F69F9" w14:textId="121BAA30" w:rsidR="001F62EC" w:rsidRPr="00E74795" w:rsidRDefault="001F62EC" w:rsidP="001F62EC">
            <w:pPr>
              <w:tabs>
                <w:tab w:val="decimal" w:pos="1500"/>
              </w:tabs>
              <w:rPr>
                <w:snapToGrid w:val="0"/>
                <w:color w:val="000000"/>
              </w:rPr>
            </w:pPr>
            <w:r w:rsidRPr="00E74795">
              <w:rPr>
                <w:snapToGrid w:val="0"/>
                <w:color w:val="000000"/>
              </w:rPr>
              <w:t>(</w:t>
            </w:r>
            <w:r>
              <w:rPr>
                <w:snapToGrid w:val="0"/>
                <w:color w:val="000000"/>
              </w:rPr>
              <w:t>4</w:t>
            </w:r>
            <w:r w:rsidR="00011002">
              <w:rPr>
                <w:snapToGrid w:val="0"/>
                <w:color w:val="000000"/>
              </w:rPr>
              <w:t>2,847,513</w:t>
            </w:r>
            <w:r w:rsidRPr="00E74795">
              <w:rPr>
                <w:snapToGrid w:val="0"/>
                <w:color w:val="000000"/>
              </w:rPr>
              <w:t>)</w:t>
            </w:r>
          </w:p>
        </w:tc>
      </w:tr>
      <w:tr w:rsidR="001F62EC" w:rsidRPr="00EB7BF0" w14:paraId="524E17F1" w14:textId="77777777" w:rsidTr="001F62EC">
        <w:trPr>
          <w:trHeight w:hRule="exact" w:val="230"/>
        </w:trPr>
        <w:tc>
          <w:tcPr>
            <w:tcW w:w="6120" w:type="dxa"/>
            <w:gridSpan w:val="3"/>
          </w:tcPr>
          <w:p w14:paraId="2EE4EF78" w14:textId="77777777" w:rsidR="001F62EC" w:rsidRPr="00E74795" w:rsidRDefault="001F62EC" w:rsidP="001F62EC">
            <w:pPr>
              <w:rPr>
                <w:snapToGrid w:val="0"/>
                <w:color w:val="000000"/>
              </w:rPr>
            </w:pPr>
            <w:r w:rsidRPr="00374FE3">
              <w:rPr>
                <w:snapToGrid w:val="0"/>
                <w:color w:val="000000"/>
              </w:rPr>
              <w:t>Total stockholders’ equity (deficiency)</w:t>
            </w:r>
          </w:p>
        </w:tc>
        <w:tc>
          <w:tcPr>
            <w:tcW w:w="90" w:type="dxa"/>
          </w:tcPr>
          <w:p w14:paraId="1FC396AD"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D783AA6" w14:textId="325ACDFA" w:rsidR="001F62EC" w:rsidRPr="00E74795" w:rsidRDefault="00F67419" w:rsidP="001F62EC">
            <w:pPr>
              <w:tabs>
                <w:tab w:val="decimal" w:pos="1320"/>
              </w:tabs>
              <w:rPr>
                <w:snapToGrid w:val="0"/>
                <w:color w:val="000000"/>
              </w:rPr>
            </w:pPr>
            <w:r>
              <w:rPr>
                <w:snapToGrid w:val="0"/>
                <w:color w:val="000000"/>
              </w:rPr>
              <w:t>(1,864,250)</w:t>
            </w:r>
          </w:p>
        </w:tc>
        <w:tc>
          <w:tcPr>
            <w:tcW w:w="270" w:type="dxa"/>
          </w:tcPr>
          <w:p w14:paraId="786EB6F0" w14:textId="77777777" w:rsidR="001F62EC" w:rsidRPr="00E74795" w:rsidRDefault="001F62EC" w:rsidP="001F62EC">
            <w:pPr>
              <w:jc w:val="right"/>
              <w:rPr>
                <w:snapToGrid w:val="0"/>
                <w:color w:val="000000"/>
              </w:rPr>
            </w:pPr>
          </w:p>
        </w:tc>
        <w:tc>
          <w:tcPr>
            <w:tcW w:w="1890" w:type="dxa"/>
            <w:tcBorders>
              <w:bottom w:val="single" w:sz="4" w:space="0" w:color="auto"/>
            </w:tcBorders>
          </w:tcPr>
          <w:p w14:paraId="4A6CFDB6" w14:textId="66DA3B1B" w:rsidR="001F62EC" w:rsidRPr="00E74795" w:rsidRDefault="001F62EC" w:rsidP="001F62EC">
            <w:pPr>
              <w:tabs>
                <w:tab w:val="decimal" w:pos="1500"/>
              </w:tabs>
              <w:rPr>
                <w:snapToGrid w:val="0"/>
                <w:color w:val="000000"/>
              </w:rPr>
            </w:pPr>
            <w:r w:rsidRPr="00374FE3">
              <w:rPr>
                <w:snapToGrid w:val="0"/>
                <w:color w:val="000000"/>
              </w:rPr>
              <w:t>(</w:t>
            </w:r>
            <w:r>
              <w:rPr>
                <w:snapToGrid w:val="0"/>
                <w:color w:val="000000"/>
              </w:rPr>
              <w:t>1,</w:t>
            </w:r>
            <w:r w:rsidR="00011002">
              <w:rPr>
                <w:snapToGrid w:val="0"/>
                <w:color w:val="000000"/>
              </w:rPr>
              <w:t>574,556</w:t>
            </w:r>
            <w:r w:rsidRPr="00374FE3">
              <w:rPr>
                <w:snapToGrid w:val="0"/>
                <w:color w:val="000000"/>
              </w:rPr>
              <w:t>)</w:t>
            </w:r>
          </w:p>
        </w:tc>
      </w:tr>
      <w:tr w:rsidR="001F62EC" w:rsidRPr="00EB7BF0" w14:paraId="35FA79DB" w14:textId="77777777" w:rsidTr="001F62EC">
        <w:trPr>
          <w:trHeight w:hRule="exact" w:val="230"/>
        </w:trPr>
        <w:tc>
          <w:tcPr>
            <w:tcW w:w="305" w:type="dxa"/>
          </w:tcPr>
          <w:p w14:paraId="18F956D0" w14:textId="77777777" w:rsidR="001F62EC" w:rsidRPr="00EB7BF0" w:rsidRDefault="001F62EC" w:rsidP="001F62EC">
            <w:pPr>
              <w:jc w:val="right"/>
              <w:rPr>
                <w:snapToGrid w:val="0"/>
                <w:color w:val="000000"/>
              </w:rPr>
            </w:pPr>
          </w:p>
        </w:tc>
        <w:tc>
          <w:tcPr>
            <w:tcW w:w="302" w:type="dxa"/>
          </w:tcPr>
          <w:p w14:paraId="3084305F" w14:textId="77777777" w:rsidR="001F62EC" w:rsidRPr="00EB7BF0" w:rsidRDefault="001F62EC" w:rsidP="001F62EC">
            <w:pPr>
              <w:jc w:val="right"/>
              <w:rPr>
                <w:snapToGrid w:val="0"/>
                <w:color w:val="000000"/>
              </w:rPr>
            </w:pPr>
          </w:p>
        </w:tc>
        <w:tc>
          <w:tcPr>
            <w:tcW w:w="5513" w:type="dxa"/>
          </w:tcPr>
          <w:p w14:paraId="5A4078F0" w14:textId="77777777" w:rsidR="001F62EC" w:rsidRPr="00E74795" w:rsidRDefault="001F62EC" w:rsidP="001F62EC">
            <w:pPr>
              <w:jc w:val="right"/>
              <w:rPr>
                <w:snapToGrid w:val="0"/>
                <w:color w:val="000000"/>
              </w:rPr>
            </w:pPr>
          </w:p>
        </w:tc>
        <w:tc>
          <w:tcPr>
            <w:tcW w:w="90" w:type="dxa"/>
          </w:tcPr>
          <w:p w14:paraId="766C7383" w14:textId="77777777" w:rsidR="001F62EC" w:rsidRPr="00E74795" w:rsidRDefault="001F62EC" w:rsidP="001F62EC">
            <w:pPr>
              <w:jc w:val="right"/>
              <w:rPr>
                <w:snapToGrid w:val="0"/>
                <w:color w:val="000000"/>
              </w:rPr>
            </w:pPr>
          </w:p>
        </w:tc>
        <w:tc>
          <w:tcPr>
            <w:tcW w:w="1710" w:type="dxa"/>
            <w:tcBorders>
              <w:top w:val="single" w:sz="4" w:space="0" w:color="auto"/>
            </w:tcBorders>
          </w:tcPr>
          <w:p w14:paraId="3998711C" w14:textId="77777777" w:rsidR="001F62EC" w:rsidRPr="00E74795" w:rsidRDefault="001F62EC" w:rsidP="001F62EC">
            <w:pPr>
              <w:tabs>
                <w:tab w:val="decimal" w:pos="1320"/>
              </w:tabs>
              <w:rPr>
                <w:snapToGrid w:val="0"/>
                <w:color w:val="000000"/>
              </w:rPr>
            </w:pPr>
          </w:p>
        </w:tc>
        <w:tc>
          <w:tcPr>
            <w:tcW w:w="270" w:type="dxa"/>
          </w:tcPr>
          <w:p w14:paraId="28381737" w14:textId="77777777" w:rsidR="001F62EC" w:rsidRPr="00E74795" w:rsidRDefault="001F62EC" w:rsidP="001F62EC">
            <w:pPr>
              <w:jc w:val="right"/>
              <w:rPr>
                <w:snapToGrid w:val="0"/>
                <w:color w:val="000000"/>
              </w:rPr>
            </w:pPr>
          </w:p>
        </w:tc>
        <w:tc>
          <w:tcPr>
            <w:tcW w:w="1890" w:type="dxa"/>
            <w:tcBorders>
              <w:top w:val="single" w:sz="4" w:space="0" w:color="auto"/>
            </w:tcBorders>
          </w:tcPr>
          <w:p w14:paraId="0ADF5CDE" w14:textId="77777777" w:rsidR="001F62EC" w:rsidRPr="00E74795" w:rsidRDefault="001F62EC" w:rsidP="001F62EC">
            <w:pPr>
              <w:tabs>
                <w:tab w:val="decimal" w:pos="1195"/>
              </w:tabs>
              <w:jc w:val="right"/>
              <w:rPr>
                <w:snapToGrid w:val="0"/>
                <w:color w:val="000000"/>
              </w:rPr>
            </w:pPr>
          </w:p>
        </w:tc>
      </w:tr>
      <w:tr w:rsidR="001F62EC" w:rsidRPr="00EB7BF0" w14:paraId="54C27C2A" w14:textId="77777777" w:rsidTr="001F62EC">
        <w:trPr>
          <w:trHeight w:hRule="exact" w:val="230"/>
        </w:trPr>
        <w:tc>
          <w:tcPr>
            <w:tcW w:w="6120" w:type="dxa"/>
            <w:gridSpan w:val="3"/>
          </w:tcPr>
          <w:p w14:paraId="65218BCA" w14:textId="77777777" w:rsidR="001F62EC" w:rsidRPr="00E74795" w:rsidRDefault="001F62EC" w:rsidP="001F62EC">
            <w:pPr>
              <w:rPr>
                <w:snapToGrid w:val="0"/>
                <w:color w:val="000000"/>
              </w:rPr>
            </w:pPr>
            <w:r w:rsidRPr="00374FE3">
              <w:rPr>
                <w:snapToGrid w:val="0"/>
                <w:color w:val="000000"/>
              </w:rPr>
              <w:t>Total liabilities and stockholders’ equity (deficiency)</w:t>
            </w:r>
          </w:p>
        </w:tc>
        <w:tc>
          <w:tcPr>
            <w:tcW w:w="90" w:type="dxa"/>
          </w:tcPr>
          <w:p w14:paraId="52FCBE4A" w14:textId="77777777" w:rsidR="001F62EC" w:rsidRPr="00E74795" w:rsidRDefault="001F62EC" w:rsidP="001F62EC">
            <w:pPr>
              <w:jc w:val="right"/>
              <w:rPr>
                <w:snapToGrid w:val="0"/>
                <w:color w:val="000000"/>
              </w:rPr>
            </w:pPr>
          </w:p>
        </w:tc>
        <w:tc>
          <w:tcPr>
            <w:tcW w:w="1710" w:type="dxa"/>
          </w:tcPr>
          <w:p w14:paraId="451D0B07" w14:textId="6600230C" w:rsidR="00F67419" w:rsidRPr="00E74795" w:rsidRDefault="001F62EC" w:rsidP="00F67419">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F67419">
              <w:rPr>
                <w:snapToGrid w:val="0"/>
                <w:color w:val="000000"/>
              </w:rPr>
              <w:t>830,833</w:t>
            </w:r>
          </w:p>
        </w:tc>
        <w:tc>
          <w:tcPr>
            <w:tcW w:w="270" w:type="dxa"/>
          </w:tcPr>
          <w:p w14:paraId="063CE5D6" w14:textId="77777777" w:rsidR="001F62EC" w:rsidRPr="00E74795" w:rsidRDefault="001F62EC" w:rsidP="001F62EC">
            <w:pPr>
              <w:jc w:val="right"/>
              <w:rPr>
                <w:snapToGrid w:val="0"/>
                <w:color w:val="000000"/>
              </w:rPr>
            </w:pPr>
          </w:p>
        </w:tc>
        <w:tc>
          <w:tcPr>
            <w:tcW w:w="1890" w:type="dxa"/>
          </w:tcPr>
          <w:p w14:paraId="6949F17F" w14:textId="08160F28"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011002">
              <w:rPr>
                <w:snapToGrid w:val="0"/>
                <w:color w:val="000000"/>
              </w:rPr>
              <w:t>468,880</w:t>
            </w:r>
          </w:p>
        </w:tc>
      </w:tr>
      <w:tr w:rsidR="001F62EC" w:rsidRPr="00EB7BF0" w14:paraId="64BD7C11" w14:textId="77777777" w:rsidTr="001F62EC">
        <w:trPr>
          <w:trHeight w:hRule="exact" w:val="230"/>
        </w:trPr>
        <w:tc>
          <w:tcPr>
            <w:tcW w:w="305" w:type="dxa"/>
          </w:tcPr>
          <w:p w14:paraId="442227BB" w14:textId="77777777" w:rsidR="001F62EC" w:rsidRPr="00EB7BF0" w:rsidRDefault="001F62EC" w:rsidP="001F62EC">
            <w:pPr>
              <w:jc w:val="right"/>
              <w:rPr>
                <w:snapToGrid w:val="0"/>
                <w:color w:val="000000"/>
              </w:rPr>
            </w:pPr>
          </w:p>
        </w:tc>
        <w:tc>
          <w:tcPr>
            <w:tcW w:w="302" w:type="dxa"/>
          </w:tcPr>
          <w:p w14:paraId="6D5B0DEB" w14:textId="77777777" w:rsidR="001F62EC" w:rsidRPr="00EB7BF0" w:rsidRDefault="001F62EC" w:rsidP="001F62EC">
            <w:pPr>
              <w:jc w:val="right"/>
              <w:rPr>
                <w:snapToGrid w:val="0"/>
                <w:color w:val="000000"/>
              </w:rPr>
            </w:pPr>
          </w:p>
        </w:tc>
        <w:tc>
          <w:tcPr>
            <w:tcW w:w="5513" w:type="dxa"/>
          </w:tcPr>
          <w:p w14:paraId="5931DA2B" w14:textId="77777777" w:rsidR="001F62EC" w:rsidRPr="00EB7BF0" w:rsidRDefault="001F62EC" w:rsidP="001F62EC">
            <w:pPr>
              <w:jc w:val="right"/>
              <w:rPr>
                <w:snapToGrid w:val="0"/>
                <w:color w:val="000000"/>
              </w:rPr>
            </w:pPr>
          </w:p>
        </w:tc>
        <w:tc>
          <w:tcPr>
            <w:tcW w:w="90" w:type="dxa"/>
          </w:tcPr>
          <w:p w14:paraId="688B8FBE" w14:textId="77777777" w:rsidR="001F62EC" w:rsidRPr="00EB7BF0" w:rsidRDefault="001F62EC" w:rsidP="001F62EC">
            <w:pPr>
              <w:jc w:val="right"/>
              <w:rPr>
                <w:snapToGrid w:val="0"/>
                <w:color w:val="000000"/>
              </w:rPr>
            </w:pPr>
          </w:p>
        </w:tc>
        <w:tc>
          <w:tcPr>
            <w:tcW w:w="1710" w:type="dxa"/>
            <w:tcBorders>
              <w:top w:val="double" w:sz="6" w:space="0" w:color="auto"/>
            </w:tcBorders>
          </w:tcPr>
          <w:p w14:paraId="4D1649FC" w14:textId="77777777" w:rsidR="001F62EC" w:rsidRPr="00EB7BF0" w:rsidRDefault="001F62EC" w:rsidP="001F62EC">
            <w:pPr>
              <w:jc w:val="right"/>
              <w:rPr>
                <w:snapToGrid w:val="0"/>
                <w:color w:val="000000"/>
              </w:rPr>
            </w:pPr>
          </w:p>
        </w:tc>
        <w:tc>
          <w:tcPr>
            <w:tcW w:w="270" w:type="dxa"/>
          </w:tcPr>
          <w:p w14:paraId="6B2119D7" w14:textId="77777777" w:rsidR="001F62EC" w:rsidRPr="00EB7BF0" w:rsidRDefault="001F62EC" w:rsidP="001F62EC">
            <w:pPr>
              <w:jc w:val="right"/>
              <w:rPr>
                <w:snapToGrid w:val="0"/>
                <w:color w:val="000000"/>
              </w:rPr>
            </w:pPr>
          </w:p>
        </w:tc>
        <w:tc>
          <w:tcPr>
            <w:tcW w:w="1890" w:type="dxa"/>
            <w:tcBorders>
              <w:top w:val="double" w:sz="6" w:space="0" w:color="auto"/>
            </w:tcBorders>
          </w:tcPr>
          <w:p w14:paraId="6FE95061" w14:textId="77777777" w:rsidR="001F62EC" w:rsidRPr="00EB7BF0" w:rsidRDefault="001F62EC" w:rsidP="001F62EC">
            <w:pPr>
              <w:jc w:val="right"/>
              <w:rPr>
                <w:snapToGrid w:val="0"/>
                <w:color w:val="000000"/>
              </w:rPr>
            </w:pPr>
          </w:p>
        </w:tc>
      </w:tr>
    </w:tbl>
    <w:p w14:paraId="604DF39D" w14:textId="544D887E"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47DD6E7F"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GEOVAX LABS, INC.</w:t>
      </w:r>
    </w:p>
    <w:p w14:paraId="14E4CB2A"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CONDENSED CONSOLIDATED STATEMENTS OF OPERATIONS</w:t>
      </w:r>
    </w:p>
    <w:p w14:paraId="2852D99C"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(Unaudited)</w:t>
      </w:r>
    </w:p>
    <w:p w14:paraId="5C6EE3B2" w14:textId="77777777" w:rsidR="002D627A" w:rsidRPr="00BA4187" w:rsidRDefault="002D627A" w:rsidP="002D627A">
      <w:pPr>
        <w:tabs>
          <w:tab w:val="left" w:pos="1080"/>
          <w:tab w:val="left" w:pos="1260"/>
          <w:tab w:val="left" w:pos="2340"/>
          <w:tab w:val="right" w:pos="9180"/>
        </w:tabs>
        <w:ind w:right="-360"/>
        <w:jc w:val="center"/>
      </w:pPr>
    </w:p>
    <w:p w14:paraId="35B7A67C" w14:textId="77777777" w:rsidR="002D627A" w:rsidRDefault="002D627A" w:rsidP="00643C84">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5"/>
        <w:gridCol w:w="448"/>
        <w:gridCol w:w="448"/>
        <w:gridCol w:w="1960"/>
        <w:gridCol w:w="537"/>
        <w:gridCol w:w="537"/>
        <w:gridCol w:w="1960"/>
        <w:gridCol w:w="1782"/>
        <w:gridCol w:w="359"/>
        <w:gridCol w:w="1782"/>
      </w:tblGrid>
      <w:tr w:rsidR="006E7CF8" w:rsidRPr="00212F30" w14:paraId="102F99F3" w14:textId="77777777" w:rsidTr="006B43A2">
        <w:trPr>
          <w:trHeight w:val="230"/>
        </w:trPr>
        <w:tc>
          <w:tcPr>
            <w:tcW w:w="3231" w:type="dxa"/>
            <w:gridSpan w:val="4"/>
          </w:tcPr>
          <w:p w14:paraId="07515402" w14:textId="77777777" w:rsidR="006E7CF8" w:rsidRDefault="006E7CF8" w:rsidP="006B43A2">
            <w:pPr>
              <w:tabs>
                <w:tab w:val="right" w:pos="9180"/>
              </w:tabs>
              <w:ind w:right="-360"/>
            </w:pPr>
          </w:p>
        </w:tc>
        <w:tc>
          <w:tcPr>
            <w:tcW w:w="537" w:type="dxa"/>
          </w:tcPr>
          <w:p w14:paraId="561097E8" w14:textId="77777777" w:rsidR="006E7CF8" w:rsidRPr="00212F30" w:rsidRDefault="006E7CF8" w:rsidP="006B43A2">
            <w:pPr>
              <w:tabs>
                <w:tab w:val="right" w:pos="9180"/>
              </w:tabs>
              <w:ind w:right="-18"/>
            </w:pPr>
          </w:p>
        </w:tc>
        <w:tc>
          <w:tcPr>
            <w:tcW w:w="537" w:type="dxa"/>
          </w:tcPr>
          <w:p w14:paraId="55A08E8C" w14:textId="77777777" w:rsidR="006E7CF8" w:rsidRPr="00212F30" w:rsidRDefault="006E7CF8" w:rsidP="006B43A2">
            <w:pPr>
              <w:tabs>
                <w:tab w:val="right" w:pos="9180"/>
              </w:tabs>
              <w:ind w:right="-360"/>
            </w:pPr>
          </w:p>
        </w:tc>
        <w:tc>
          <w:tcPr>
            <w:tcW w:w="1960" w:type="dxa"/>
          </w:tcPr>
          <w:p w14:paraId="0B8986F3" w14:textId="77777777" w:rsidR="006E7CF8" w:rsidRPr="00212F30" w:rsidRDefault="006E7CF8" w:rsidP="006B43A2">
            <w:pPr>
              <w:tabs>
                <w:tab w:val="right" w:pos="9180"/>
              </w:tabs>
              <w:ind w:right="-360"/>
            </w:pPr>
          </w:p>
        </w:tc>
        <w:tc>
          <w:tcPr>
            <w:tcW w:w="1782" w:type="dxa"/>
          </w:tcPr>
          <w:p w14:paraId="360AD5F2" w14:textId="77777777" w:rsidR="006E7CF8" w:rsidRDefault="006E7CF8" w:rsidP="006B43A2">
            <w:pPr>
              <w:tabs>
                <w:tab w:val="decimal" w:pos="1295"/>
                <w:tab w:val="right" w:pos="9180"/>
              </w:tabs>
              <w:ind w:right="-18"/>
            </w:pPr>
          </w:p>
        </w:tc>
        <w:tc>
          <w:tcPr>
            <w:tcW w:w="359" w:type="dxa"/>
          </w:tcPr>
          <w:p w14:paraId="58BE6B32" w14:textId="77777777" w:rsidR="006E7CF8" w:rsidRPr="00212F30" w:rsidRDefault="006E7CF8" w:rsidP="006B43A2">
            <w:pPr>
              <w:tabs>
                <w:tab w:val="right" w:pos="9180"/>
              </w:tabs>
              <w:ind w:right="-360"/>
            </w:pPr>
          </w:p>
        </w:tc>
        <w:tc>
          <w:tcPr>
            <w:tcW w:w="1782" w:type="dxa"/>
          </w:tcPr>
          <w:p w14:paraId="1C23458B" w14:textId="77777777" w:rsidR="006E7CF8" w:rsidRDefault="006E7CF8" w:rsidP="006B43A2">
            <w:pPr>
              <w:tabs>
                <w:tab w:val="decimal" w:pos="1314"/>
                <w:tab w:val="right" w:pos="9180"/>
              </w:tabs>
              <w:ind w:right="-18"/>
            </w:pPr>
          </w:p>
        </w:tc>
      </w:tr>
      <w:tr w:rsidR="006E7CF8" w:rsidRPr="00212F30" w14:paraId="122E0A93" w14:textId="77777777" w:rsidTr="006B43A2">
        <w:trPr>
          <w:trHeight w:val="230"/>
        </w:trPr>
        <w:tc>
          <w:tcPr>
            <w:tcW w:w="3231" w:type="dxa"/>
            <w:gridSpan w:val="4"/>
          </w:tcPr>
          <w:p w14:paraId="0D31B873" w14:textId="77777777" w:rsidR="006E7CF8" w:rsidRDefault="006E7CF8" w:rsidP="006B43A2">
            <w:pPr>
              <w:tabs>
                <w:tab w:val="right" w:pos="9180"/>
              </w:tabs>
              <w:ind w:right="-360"/>
            </w:pPr>
          </w:p>
        </w:tc>
        <w:tc>
          <w:tcPr>
            <w:tcW w:w="537" w:type="dxa"/>
          </w:tcPr>
          <w:p w14:paraId="477DDDF5" w14:textId="77777777" w:rsidR="006E7CF8" w:rsidRPr="00212F30" w:rsidRDefault="006E7CF8" w:rsidP="006B43A2">
            <w:pPr>
              <w:tabs>
                <w:tab w:val="right" w:pos="9180"/>
              </w:tabs>
              <w:ind w:right="-18"/>
            </w:pPr>
          </w:p>
        </w:tc>
        <w:tc>
          <w:tcPr>
            <w:tcW w:w="537" w:type="dxa"/>
          </w:tcPr>
          <w:p w14:paraId="42B8D319" w14:textId="77777777" w:rsidR="006E7CF8" w:rsidRPr="00212F30" w:rsidRDefault="006E7CF8" w:rsidP="006B43A2">
            <w:pPr>
              <w:tabs>
                <w:tab w:val="right" w:pos="9180"/>
              </w:tabs>
              <w:ind w:right="-360"/>
            </w:pPr>
          </w:p>
        </w:tc>
        <w:tc>
          <w:tcPr>
            <w:tcW w:w="1960" w:type="dxa"/>
          </w:tcPr>
          <w:p w14:paraId="478750C8" w14:textId="77777777" w:rsidR="006E7CF8" w:rsidRPr="00212F30" w:rsidRDefault="006E7CF8" w:rsidP="006B43A2">
            <w:pPr>
              <w:tabs>
                <w:tab w:val="right" w:pos="9180"/>
              </w:tabs>
              <w:ind w:right="-360"/>
            </w:pPr>
          </w:p>
        </w:tc>
        <w:tc>
          <w:tcPr>
            <w:tcW w:w="3923" w:type="dxa"/>
            <w:gridSpan w:val="3"/>
            <w:tcBorders>
              <w:bottom w:val="single" w:sz="4" w:space="0" w:color="auto"/>
            </w:tcBorders>
          </w:tcPr>
          <w:p w14:paraId="2D32D54F" w14:textId="77777777" w:rsidR="006E7CF8" w:rsidRDefault="006E7CF8" w:rsidP="006B43A2">
            <w:pPr>
              <w:tabs>
                <w:tab w:val="decimal" w:pos="1314"/>
                <w:tab w:val="right" w:pos="9180"/>
              </w:tabs>
              <w:ind w:right="-18"/>
              <w:jc w:val="center"/>
            </w:pPr>
            <w:r>
              <w:t>Three Months Ended March 31,</w:t>
            </w:r>
          </w:p>
        </w:tc>
      </w:tr>
      <w:tr w:rsidR="006E7CF8" w:rsidRPr="00212F30" w14:paraId="1F512AE9" w14:textId="77777777" w:rsidTr="006B43A2">
        <w:trPr>
          <w:trHeight w:val="230"/>
        </w:trPr>
        <w:tc>
          <w:tcPr>
            <w:tcW w:w="3231" w:type="dxa"/>
            <w:gridSpan w:val="4"/>
          </w:tcPr>
          <w:p w14:paraId="0B5858D6" w14:textId="77777777" w:rsidR="006E7CF8" w:rsidRDefault="006E7CF8" w:rsidP="006B43A2">
            <w:pPr>
              <w:tabs>
                <w:tab w:val="right" w:pos="9180"/>
              </w:tabs>
              <w:ind w:right="-360"/>
            </w:pPr>
          </w:p>
        </w:tc>
        <w:tc>
          <w:tcPr>
            <w:tcW w:w="537" w:type="dxa"/>
          </w:tcPr>
          <w:p w14:paraId="5754BC65" w14:textId="77777777" w:rsidR="006E7CF8" w:rsidRPr="00212F30" w:rsidRDefault="006E7CF8" w:rsidP="006B43A2">
            <w:pPr>
              <w:tabs>
                <w:tab w:val="right" w:pos="9180"/>
              </w:tabs>
              <w:ind w:right="-18"/>
            </w:pPr>
          </w:p>
        </w:tc>
        <w:tc>
          <w:tcPr>
            <w:tcW w:w="537" w:type="dxa"/>
          </w:tcPr>
          <w:p w14:paraId="68CC4070" w14:textId="77777777" w:rsidR="006E7CF8" w:rsidRPr="00212F30" w:rsidRDefault="006E7CF8" w:rsidP="006B43A2">
            <w:pPr>
              <w:tabs>
                <w:tab w:val="right" w:pos="9180"/>
              </w:tabs>
              <w:ind w:right="-360"/>
            </w:pPr>
          </w:p>
        </w:tc>
        <w:tc>
          <w:tcPr>
            <w:tcW w:w="1960" w:type="dxa"/>
          </w:tcPr>
          <w:p w14:paraId="7ED0E90B" w14:textId="77777777" w:rsidR="006E7CF8" w:rsidRPr="00212F30" w:rsidRDefault="006E7CF8" w:rsidP="006B43A2">
            <w:pPr>
              <w:tabs>
                <w:tab w:val="right" w:pos="9180"/>
              </w:tabs>
              <w:ind w:right="-360"/>
            </w:pPr>
          </w:p>
        </w:tc>
        <w:tc>
          <w:tcPr>
            <w:tcW w:w="1782" w:type="dxa"/>
            <w:tcBorders>
              <w:top w:val="single" w:sz="4" w:space="0" w:color="auto"/>
              <w:bottom w:val="single" w:sz="4" w:space="0" w:color="auto"/>
            </w:tcBorders>
          </w:tcPr>
          <w:p w14:paraId="2F893B77" w14:textId="0C6E5435" w:rsidR="006E7CF8" w:rsidRDefault="006E7CF8" w:rsidP="006B43A2">
            <w:pPr>
              <w:tabs>
                <w:tab w:val="decimal" w:pos="1295"/>
                <w:tab w:val="right" w:pos="9180"/>
              </w:tabs>
              <w:ind w:right="-18"/>
              <w:jc w:val="center"/>
            </w:pPr>
            <w:r>
              <w:t>20</w:t>
            </w:r>
            <w:r w:rsidR="004F479E">
              <w:t>20</w:t>
            </w:r>
          </w:p>
        </w:tc>
        <w:tc>
          <w:tcPr>
            <w:tcW w:w="359" w:type="dxa"/>
            <w:tcBorders>
              <w:top w:val="single" w:sz="4" w:space="0" w:color="auto"/>
            </w:tcBorders>
          </w:tcPr>
          <w:p w14:paraId="3EBB106F" w14:textId="77777777" w:rsidR="006E7CF8" w:rsidRPr="00212F30" w:rsidRDefault="006E7CF8" w:rsidP="006B43A2">
            <w:pPr>
              <w:tabs>
                <w:tab w:val="right" w:pos="9180"/>
              </w:tabs>
              <w:ind w:right="-360"/>
              <w:jc w:val="center"/>
            </w:pPr>
          </w:p>
        </w:tc>
        <w:tc>
          <w:tcPr>
            <w:tcW w:w="1782" w:type="dxa"/>
            <w:tcBorders>
              <w:top w:val="single" w:sz="4" w:space="0" w:color="auto"/>
              <w:bottom w:val="single" w:sz="4" w:space="0" w:color="auto"/>
            </w:tcBorders>
          </w:tcPr>
          <w:p w14:paraId="297241C0" w14:textId="2B02BFB4" w:rsidR="006E7CF8" w:rsidRDefault="006E7CF8" w:rsidP="006B43A2">
            <w:pPr>
              <w:tabs>
                <w:tab w:val="decimal" w:pos="1314"/>
                <w:tab w:val="right" w:pos="9180"/>
              </w:tabs>
              <w:ind w:right="-18"/>
              <w:jc w:val="center"/>
            </w:pPr>
            <w:r>
              <w:t>201</w:t>
            </w:r>
            <w:r w:rsidR="004F479E">
              <w:t>9</w:t>
            </w:r>
          </w:p>
        </w:tc>
      </w:tr>
      <w:tr w:rsidR="00997F61" w:rsidRPr="00212F30" w14:paraId="2B5988FD" w14:textId="77777777" w:rsidTr="00C500F1">
        <w:trPr>
          <w:trHeight w:val="230"/>
        </w:trPr>
        <w:tc>
          <w:tcPr>
            <w:tcW w:w="3768" w:type="dxa"/>
            <w:gridSpan w:val="5"/>
          </w:tcPr>
          <w:p w14:paraId="25CCC3EE" w14:textId="742F832C" w:rsidR="00997F61" w:rsidRPr="00212F30" w:rsidRDefault="00ED15BB" w:rsidP="006B43A2">
            <w:pPr>
              <w:tabs>
                <w:tab w:val="right" w:pos="9180"/>
              </w:tabs>
              <w:ind w:right="-18"/>
            </w:pPr>
            <w:r>
              <w:t xml:space="preserve">Grant </w:t>
            </w:r>
            <w:r w:rsidR="00FB3F52">
              <w:t xml:space="preserve">and collaboration </w:t>
            </w:r>
            <w:r>
              <w:t>r</w:t>
            </w:r>
            <w:r w:rsidR="00997F61">
              <w:t>evenue</w:t>
            </w:r>
            <w:r w:rsidR="000253FD">
              <w:t>s</w:t>
            </w:r>
          </w:p>
        </w:tc>
        <w:tc>
          <w:tcPr>
            <w:tcW w:w="537" w:type="dxa"/>
          </w:tcPr>
          <w:p w14:paraId="3B853BAE" w14:textId="77777777" w:rsidR="00997F61" w:rsidRPr="00212F30" w:rsidRDefault="00997F61" w:rsidP="006B43A2">
            <w:pPr>
              <w:tabs>
                <w:tab w:val="right" w:pos="9180"/>
              </w:tabs>
              <w:ind w:right="-360"/>
            </w:pPr>
          </w:p>
        </w:tc>
        <w:tc>
          <w:tcPr>
            <w:tcW w:w="1960" w:type="dxa"/>
          </w:tcPr>
          <w:p w14:paraId="014F6139" w14:textId="77777777" w:rsidR="00997F61" w:rsidRPr="00212F30" w:rsidRDefault="00997F61" w:rsidP="006B43A2">
            <w:pPr>
              <w:tabs>
                <w:tab w:val="right" w:pos="9180"/>
              </w:tabs>
              <w:ind w:right="-360"/>
            </w:pPr>
          </w:p>
        </w:tc>
        <w:tc>
          <w:tcPr>
            <w:tcW w:w="1782" w:type="dxa"/>
          </w:tcPr>
          <w:p w14:paraId="5D518778" w14:textId="242AC73C" w:rsidR="00997F61" w:rsidRPr="00212F30" w:rsidRDefault="00997F61" w:rsidP="00050E31">
            <w:pPr>
              <w:tabs>
                <w:tab w:val="decimal" w:pos="1276"/>
                <w:tab w:val="right" w:pos="9180"/>
              </w:tabs>
              <w:ind w:right="-18"/>
            </w:pPr>
            <w:r>
              <w:t>$</w:t>
            </w:r>
            <w:r>
              <w:tab/>
            </w:r>
            <w:r w:rsidR="00E53694">
              <w:t>715,977</w:t>
            </w:r>
          </w:p>
        </w:tc>
        <w:tc>
          <w:tcPr>
            <w:tcW w:w="359" w:type="dxa"/>
          </w:tcPr>
          <w:p w14:paraId="1BC6F68A" w14:textId="77777777" w:rsidR="00997F61" w:rsidRPr="00212F30" w:rsidRDefault="00997F61" w:rsidP="006B43A2">
            <w:pPr>
              <w:tabs>
                <w:tab w:val="right" w:pos="9180"/>
              </w:tabs>
              <w:ind w:right="-360"/>
            </w:pPr>
          </w:p>
        </w:tc>
        <w:tc>
          <w:tcPr>
            <w:tcW w:w="1782" w:type="dxa"/>
          </w:tcPr>
          <w:p w14:paraId="3AECD94F" w14:textId="0A782ECF" w:rsidR="00997F61" w:rsidRPr="00212F30" w:rsidRDefault="00997F61" w:rsidP="00050E31">
            <w:pPr>
              <w:tabs>
                <w:tab w:val="decimal" w:pos="1295"/>
                <w:tab w:val="right" w:pos="9180"/>
              </w:tabs>
              <w:ind w:right="-18"/>
            </w:pPr>
            <w:r>
              <w:t>$</w:t>
            </w:r>
            <w:r>
              <w:tab/>
            </w:r>
            <w:r w:rsidR="004F479E">
              <w:t>364,232</w:t>
            </w:r>
          </w:p>
        </w:tc>
      </w:tr>
      <w:tr w:rsidR="00050E31" w:rsidRPr="00212F30" w14:paraId="195CD615" w14:textId="77777777" w:rsidTr="006B43A2">
        <w:trPr>
          <w:trHeight w:val="230"/>
        </w:trPr>
        <w:tc>
          <w:tcPr>
            <w:tcW w:w="375" w:type="dxa"/>
          </w:tcPr>
          <w:p w14:paraId="3D4F2EBB" w14:textId="77777777" w:rsidR="00050E31" w:rsidRPr="00212F30" w:rsidRDefault="00050E31" w:rsidP="006B43A2">
            <w:pPr>
              <w:ind w:right="-360"/>
            </w:pPr>
          </w:p>
        </w:tc>
        <w:tc>
          <w:tcPr>
            <w:tcW w:w="448" w:type="dxa"/>
          </w:tcPr>
          <w:p w14:paraId="21C0951A" w14:textId="77777777" w:rsidR="00050E31" w:rsidRPr="00212F30" w:rsidRDefault="00050E31" w:rsidP="006B43A2">
            <w:pPr>
              <w:ind w:right="-360"/>
            </w:pPr>
          </w:p>
        </w:tc>
        <w:tc>
          <w:tcPr>
            <w:tcW w:w="448" w:type="dxa"/>
          </w:tcPr>
          <w:p w14:paraId="7424BFC3" w14:textId="77777777" w:rsidR="00050E31" w:rsidRPr="00212F30" w:rsidRDefault="00050E31" w:rsidP="006B43A2">
            <w:pPr>
              <w:ind w:right="-360"/>
            </w:pPr>
          </w:p>
        </w:tc>
        <w:tc>
          <w:tcPr>
            <w:tcW w:w="1960" w:type="dxa"/>
          </w:tcPr>
          <w:p w14:paraId="40DD9A52" w14:textId="77777777" w:rsidR="00050E31" w:rsidRPr="00212F30" w:rsidRDefault="00050E31" w:rsidP="006B43A2">
            <w:pPr>
              <w:tabs>
                <w:tab w:val="right" w:pos="9180"/>
              </w:tabs>
              <w:ind w:right="-360"/>
            </w:pPr>
          </w:p>
        </w:tc>
        <w:tc>
          <w:tcPr>
            <w:tcW w:w="537" w:type="dxa"/>
          </w:tcPr>
          <w:p w14:paraId="107606A5" w14:textId="77777777" w:rsidR="00050E31" w:rsidRPr="00212F30" w:rsidRDefault="00050E31" w:rsidP="006B43A2">
            <w:pPr>
              <w:tabs>
                <w:tab w:val="right" w:pos="9180"/>
              </w:tabs>
              <w:ind w:right="-18"/>
            </w:pPr>
          </w:p>
        </w:tc>
        <w:tc>
          <w:tcPr>
            <w:tcW w:w="537" w:type="dxa"/>
          </w:tcPr>
          <w:p w14:paraId="1AE9AD07" w14:textId="77777777" w:rsidR="00050E31" w:rsidRPr="00212F30" w:rsidRDefault="00050E31" w:rsidP="006B43A2">
            <w:pPr>
              <w:tabs>
                <w:tab w:val="right" w:pos="9180"/>
              </w:tabs>
              <w:ind w:right="-360"/>
            </w:pPr>
          </w:p>
        </w:tc>
        <w:tc>
          <w:tcPr>
            <w:tcW w:w="1960" w:type="dxa"/>
          </w:tcPr>
          <w:p w14:paraId="119FAB28" w14:textId="77777777" w:rsidR="00050E31" w:rsidRPr="00212F30" w:rsidRDefault="00050E31" w:rsidP="006B43A2">
            <w:pPr>
              <w:tabs>
                <w:tab w:val="right" w:pos="9180"/>
              </w:tabs>
              <w:ind w:right="-360"/>
            </w:pPr>
          </w:p>
        </w:tc>
        <w:tc>
          <w:tcPr>
            <w:tcW w:w="1782" w:type="dxa"/>
          </w:tcPr>
          <w:p w14:paraId="3575C731" w14:textId="77777777" w:rsidR="00050E31" w:rsidRPr="00212F30" w:rsidRDefault="00050E31" w:rsidP="006B43A2">
            <w:pPr>
              <w:tabs>
                <w:tab w:val="decimal" w:pos="1062"/>
                <w:tab w:val="right" w:pos="9180"/>
              </w:tabs>
              <w:ind w:right="-18"/>
            </w:pPr>
          </w:p>
        </w:tc>
        <w:tc>
          <w:tcPr>
            <w:tcW w:w="359" w:type="dxa"/>
          </w:tcPr>
          <w:p w14:paraId="02677C58" w14:textId="77777777" w:rsidR="00050E31" w:rsidRPr="00212F30" w:rsidRDefault="00050E31" w:rsidP="006B43A2">
            <w:pPr>
              <w:tabs>
                <w:tab w:val="right" w:pos="9180"/>
              </w:tabs>
              <w:ind w:right="-360"/>
            </w:pPr>
          </w:p>
        </w:tc>
        <w:tc>
          <w:tcPr>
            <w:tcW w:w="1782" w:type="dxa"/>
          </w:tcPr>
          <w:p w14:paraId="5719F1C4" w14:textId="77777777" w:rsidR="00050E31" w:rsidRPr="00212F30" w:rsidRDefault="00050E31" w:rsidP="006B43A2">
            <w:pPr>
              <w:tabs>
                <w:tab w:val="decimal" w:pos="972"/>
                <w:tab w:val="right" w:pos="9180"/>
              </w:tabs>
              <w:ind w:right="-18"/>
            </w:pPr>
          </w:p>
        </w:tc>
      </w:tr>
      <w:tr w:rsidR="006E7CF8" w:rsidRPr="00212F30" w14:paraId="3DAF7AEA" w14:textId="77777777" w:rsidTr="006B43A2">
        <w:trPr>
          <w:trHeight w:val="230"/>
        </w:trPr>
        <w:tc>
          <w:tcPr>
            <w:tcW w:w="3231" w:type="dxa"/>
            <w:gridSpan w:val="4"/>
          </w:tcPr>
          <w:p w14:paraId="24E90ADC" w14:textId="77777777" w:rsidR="006E7CF8" w:rsidRPr="00212F30" w:rsidRDefault="006E7CF8" w:rsidP="006B43A2">
            <w:pPr>
              <w:tabs>
                <w:tab w:val="right" w:pos="9180"/>
              </w:tabs>
              <w:ind w:right="-360"/>
            </w:pPr>
            <w:r w:rsidRPr="00212F30">
              <w:t>Operating expenses:</w:t>
            </w:r>
          </w:p>
        </w:tc>
        <w:tc>
          <w:tcPr>
            <w:tcW w:w="537" w:type="dxa"/>
          </w:tcPr>
          <w:p w14:paraId="1B524F33" w14:textId="77777777" w:rsidR="006E7CF8" w:rsidRPr="00212F30" w:rsidRDefault="006E7CF8" w:rsidP="006B43A2">
            <w:pPr>
              <w:tabs>
                <w:tab w:val="right" w:pos="9180"/>
              </w:tabs>
              <w:ind w:right="-18"/>
            </w:pPr>
          </w:p>
        </w:tc>
        <w:tc>
          <w:tcPr>
            <w:tcW w:w="537" w:type="dxa"/>
          </w:tcPr>
          <w:p w14:paraId="3FB510A0" w14:textId="77777777" w:rsidR="006E7CF8" w:rsidRPr="00212F30" w:rsidRDefault="006E7CF8" w:rsidP="006B43A2">
            <w:pPr>
              <w:tabs>
                <w:tab w:val="right" w:pos="9180"/>
              </w:tabs>
              <w:ind w:right="-360"/>
            </w:pPr>
          </w:p>
        </w:tc>
        <w:tc>
          <w:tcPr>
            <w:tcW w:w="1960" w:type="dxa"/>
          </w:tcPr>
          <w:p w14:paraId="204B8D57" w14:textId="77777777" w:rsidR="006E7CF8" w:rsidRPr="00212F30" w:rsidRDefault="006E7CF8" w:rsidP="006B43A2">
            <w:pPr>
              <w:tabs>
                <w:tab w:val="right" w:pos="9180"/>
              </w:tabs>
              <w:ind w:right="-360"/>
            </w:pPr>
          </w:p>
        </w:tc>
        <w:tc>
          <w:tcPr>
            <w:tcW w:w="1782" w:type="dxa"/>
          </w:tcPr>
          <w:p w14:paraId="0D79F376" w14:textId="77777777" w:rsidR="006E7CF8" w:rsidRPr="00212F30" w:rsidRDefault="006E7CF8" w:rsidP="006B43A2">
            <w:pPr>
              <w:tabs>
                <w:tab w:val="decimal" w:pos="1062"/>
                <w:tab w:val="right" w:pos="9180"/>
              </w:tabs>
              <w:ind w:right="-18"/>
            </w:pPr>
          </w:p>
        </w:tc>
        <w:tc>
          <w:tcPr>
            <w:tcW w:w="359" w:type="dxa"/>
          </w:tcPr>
          <w:p w14:paraId="1A7DB9D4" w14:textId="77777777" w:rsidR="006E7CF8" w:rsidRPr="00212F30" w:rsidRDefault="006E7CF8" w:rsidP="006B43A2">
            <w:pPr>
              <w:tabs>
                <w:tab w:val="right" w:pos="9180"/>
              </w:tabs>
              <w:ind w:right="-360"/>
            </w:pPr>
          </w:p>
        </w:tc>
        <w:tc>
          <w:tcPr>
            <w:tcW w:w="1782" w:type="dxa"/>
          </w:tcPr>
          <w:p w14:paraId="644ECA30" w14:textId="77777777" w:rsidR="006E7CF8" w:rsidRPr="00212F30" w:rsidRDefault="006E7CF8" w:rsidP="006B43A2">
            <w:pPr>
              <w:tabs>
                <w:tab w:val="decimal" w:pos="972"/>
                <w:tab w:val="right" w:pos="9180"/>
              </w:tabs>
              <w:ind w:right="-18"/>
            </w:pPr>
          </w:p>
        </w:tc>
      </w:tr>
      <w:tr w:rsidR="006E7CF8" w:rsidRPr="00212F30" w14:paraId="6A3936F1" w14:textId="77777777" w:rsidTr="006B43A2">
        <w:trPr>
          <w:trHeight w:val="230"/>
        </w:trPr>
        <w:tc>
          <w:tcPr>
            <w:tcW w:w="375" w:type="dxa"/>
          </w:tcPr>
          <w:p w14:paraId="100B36EE" w14:textId="77777777" w:rsidR="006E7CF8" w:rsidRPr="00212F30" w:rsidRDefault="006E7CF8" w:rsidP="006B43A2">
            <w:pPr>
              <w:ind w:right="-360"/>
            </w:pPr>
          </w:p>
        </w:tc>
        <w:tc>
          <w:tcPr>
            <w:tcW w:w="2856" w:type="dxa"/>
            <w:gridSpan w:val="3"/>
          </w:tcPr>
          <w:p w14:paraId="19470CB9" w14:textId="77777777" w:rsidR="006E7CF8" w:rsidRPr="00212F30" w:rsidRDefault="006E7CF8" w:rsidP="006B43A2">
            <w:pPr>
              <w:tabs>
                <w:tab w:val="right" w:pos="9180"/>
              </w:tabs>
              <w:ind w:right="-360"/>
            </w:pPr>
            <w:r w:rsidRPr="00212F30">
              <w:t>Research and development</w:t>
            </w:r>
          </w:p>
        </w:tc>
        <w:tc>
          <w:tcPr>
            <w:tcW w:w="537" w:type="dxa"/>
          </w:tcPr>
          <w:p w14:paraId="55BFDAE4" w14:textId="77777777" w:rsidR="006E7CF8" w:rsidRPr="00212F30" w:rsidRDefault="006E7CF8" w:rsidP="006B43A2">
            <w:pPr>
              <w:tabs>
                <w:tab w:val="decimal" w:pos="1062"/>
                <w:tab w:val="right" w:pos="9180"/>
              </w:tabs>
              <w:ind w:right="-18"/>
            </w:pPr>
          </w:p>
        </w:tc>
        <w:tc>
          <w:tcPr>
            <w:tcW w:w="537" w:type="dxa"/>
          </w:tcPr>
          <w:p w14:paraId="3C3D33D2" w14:textId="77777777" w:rsidR="006E7CF8" w:rsidRPr="00212F30" w:rsidRDefault="006E7CF8" w:rsidP="006B43A2">
            <w:pPr>
              <w:tabs>
                <w:tab w:val="right" w:pos="9180"/>
              </w:tabs>
              <w:ind w:right="-360"/>
            </w:pPr>
          </w:p>
        </w:tc>
        <w:tc>
          <w:tcPr>
            <w:tcW w:w="1960" w:type="dxa"/>
          </w:tcPr>
          <w:p w14:paraId="12F9D4B6" w14:textId="77777777" w:rsidR="006E7CF8" w:rsidRPr="00212F30" w:rsidRDefault="006E7CF8" w:rsidP="006B43A2">
            <w:pPr>
              <w:tabs>
                <w:tab w:val="right" w:pos="9180"/>
              </w:tabs>
              <w:ind w:right="-360"/>
            </w:pPr>
          </w:p>
        </w:tc>
        <w:tc>
          <w:tcPr>
            <w:tcW w:w="1782" w:type="dxa"/>
          </w:tcPr>
          <w:p w14:paraId="1562004B" w14:textId="024A4EF2" w:rsidR="006E7CF8" w:rsidRPr="00212F30" w:rsidRDefault="006E7CF8" w:rsidP="006B43A2">
            <w:pPr>
              <w:tabs>
                <w:tab w:val="decimal" w:pos="1295"/>
                <w:tab w:val="right" w:pos="9180"/>
              </w:tabs>
              <w:ind w:right="-18"/>
            </w:pPr>
            <w:r w:rsidRPr="00212F30">
              <w:tab/>
            </w:r>
            <w:r w:rsidR="00E53694">
              <w:t>808,936</w:t>
            </w:r>
          </w:p>
        </w:tc>
        <w:tc>
          <w:tcPr>
            <w:tcW w:w="359" w:type="dxa"/>
          </w:tcPr>
          <w:p w14:paraId="6BB1FD3C" w14:textId="77777777" w:rsidR="006E7CF8" w:rsidRPr="00212F30" w:rsidRDefault="006E7CF8" w:rsidP="006B43A2">
            <w:pPr>
              <w:tabs>
                <w:tab w:val="right" w:pos="9180"/>
              </w:tabs>
              <w:ind w:right="-360"/>
            </w:pPr>
          </w:p>
        </w:tc>
        <w:tc>
          <w:tcPr>
            <w:tcW w:w="1782" w:type="dxa"/>
          </w:tcPr>
          <w:p w14:paraId="264CC549" w14:textId="2E765B5B" w:rsidR="006E7CF8" w:rsidRPr="00212F30" w:rsidRDefault="006E7CF8" w:rsidP="006B43A2">
            <w:pPr>
              <w:tabs>
                <w:tab w:val="decimal" w:pos="1314"/>
                <w:tab w:val="right" w:pos="9180"/>
              </w:tabs>
              <w:ind w:right="-18"/>
            </w:pPr>
            <w:r>
              <w:tab/>
            </w:r>
            <w:r w:rsidR="004F479E">
              <w:t>555,718</w:t>
            </w:r>
          </w:p>
        </w:tc>
      </w:tr>
      <w:tr w:rsidR="006E7CF8" w:rsidRPr="00212F30" w14:paraId="750C618C" w14:textId="77777777" w:rsidTr="00D27ADC">
        <w:trPr>
          <w:trHeight w:val="230"/>
        </w:trPr>
        <w:tc>
          <w:tcPr>
            <w:tcW w:w="375" w:type="dxa"/>
          </w:tcPr>
          <w:p w14:paraId="2FFDA8F3" w14:textId="77777777" w:rsidR="006E7CF8" w:rsidRPr="00212F30" w:rsidRDefault="006E7CF8" w:rsidP="006B43A2">
            <w:pPr>
              <w:ind w:right="-360"/>
            </w:pPr>
          </w:p>
        </w:tc>
        <w:tc>
          <w:tcPr>
            <w:tcW w:w="2856" w:type="dxa"/>
            <w:gridSpan w:val="3"/>
          </w:tcPr>
          <w:p w14:paraId="31472D3F" w14:textId="77777777" w:rsidR="006E7CF8" w:rsidRPr="00212F30" w:rsidRDefault="006E7CF8" w:rsidP="006B43A2">
            <w:pPr>
              <w:tabs>
                <w:tab w:val="right" w:pos="9180"/>
              </w:tabs>
              <w:ind w:right="-360"/>
            </w:pPr>
            <w:r w:rsidRPr="00212F30">
              <w:t>General and administrative</w:t>
            </w:r>
          </w:p>
        </w:tc>
        <w:tc>
          <w:tcPr>
            <w:tcW w:w="537" w:type="dxa"/>
          </w:tcPr>
          <w:p w14:paraId="129FA1DB" w14:textId="77777777" w:rsidR="006E7CF8" w:rsidRPr="00212F30" w:rsidRDefault="006E7CF8" w:rsidP="006B43A2">
            <w:pPr>
              <w:tabs>
                <w:tab w:val="decimal" w:pos="1062"/>
                <w:tab w:val="right" w:pos="9180"/>
              </w:tabs>
              <w:ind w:right="-18"/>
            </w:pPr>
          </w:p>
        </w:tc>
        <w:tc>
          <w:tcPr>
            <w:tcW w:w="537" w:type="dxa"/>
          </w:tcPr>
          <w:p w14:paraId="11110B7A" w14:textId="77777777" w:rsidR="006E7CF8" w:rsidRPr="00212F30" w:rsidRDefault="006E7CF8" w:rsidP="006B43A2">
            <w:pPr>
              <w:tabs>
                <w:tab w:val="right" w:pos="9180"/>
              </w:tabs>
              <w:ind w:right="-360"/>
            </w:pPr>
          </w:p>
        </w:tc>
        <w:tc>
          <w:tcPr>
            <w:tcW w:w="1960" w:type="dxa"/>
          </w:tcPr>
          <w:p w14:paraId="55F214A5" w14:textId="77777777" w:rsidR="006E7CF8" w:rsidRPr="00212F30" w:rsidRDefault="006E7CF8" w:rsidP="006B43A2">
            <w:pPr>
              <w:tabs>
                <w:tab w:val="right" w:pos="9180"/>
              </w:tabs>
              <w:ind w:right="-360"/>
            </w:pPr>
          </w:p>
        </w:tc>
        <w:tc>
          <w:tcPr>
            <w:tcW w:w="1782" w:type="dxa"/>
            <w:tcBorders>
              <w:bottom w:val="single" w:sz="4" w:space="0" w:color="auto"/>
            </w:tcBorders>
          </w:tcPr>
          <w:p w14:paraId="430EE92A" w14:textId="1D4A933F" w:rsidR="006E7CF8" w:rsidRPr="00212F30" w:rsidRDefault="006E7CF8" w:rsidP="006B43A2">
            <w:pPr>
              <w:tabs>
                <w:tab w:val="decimal" w:pos="1295"/>
                <w:tab w:val="right" w:pos="9180"/>
              </w:tabs>
              <w:ind w:right="-18"/>
            </w:pPr>
            <w:r w:rsidRPr="00212F30">
              <w:tab/>
            </w:r>
            <w:r w:rsidR="00E53694">
              <w:t>502,345</w:t>
            </w:r>
          </w:p>
        </w:tc>
        <w:tc>
          <w:tcPr>
            <w:tcW w:w="359" w:type="dxa"/>
          </w:tcPr>
          <w:p w14:paraId="2E13C753" w14:textId="77777777" w:rsidR="006E7CF8" w:rsidRPr="00212F30" w:rsidRDefault="006E7CF8" w:rsidP="006B43A2">
            <w:pPr>
              <w:tabs>
                <w:tab w:val="right" w:pos="9180"/>
              </w:tabs>
              <w:ind w:right="-360"/>
            </w:pPr>
          </w:p>
        </w:tc>
        <w:tc>
          <w:tcPr>
            <w:tcW w:w="1782" w:type="dxa"/>
            <w:tcBorders>
              <w:bottom w:val="single" w:sz="4" w:space="0" w:color="auto"/>
            </w:tcBorders>
          </w:tcPr>
          <w:p w14:paraId="47D2978A" w14:textId="65BB47C3" w:rsidR="006E7CF8" w:rsidRPr="00212F30" w:rsidRDefault="006E7CF8" w:rsidP="006B43A2">
            <w:pPr>
              <w:tabs>
                <w:tab w:val="decimal" w:pos="1314"/>
                <w:tab w:val="right" w:pos="9180"/>
              </w:tabs>
              <w:ind w:right="-18"/>
            </w:pPr>
            <w:r>
              <w:tab/>
            </w:r>
            <w:r w:rsidR="004F479E">
              <w:t>510,064</w:t>
            </w:r>
          </w:p>
        </w:tc>
      </w:tr>
      <w:tr w:rsidR="00D27ADC" w:rsidRPr="00212F30" w14:paraId="1E41E283" w14:textId="77777777" w:rsidTr="00D27ADC">
        <w:trPr>
          <w:trHeight w:val="230"/>
        </w:trPr>
        <w:tc>
          <w:tcPr>
            <w:tcW w:w="375" w:type="dxa"/>
          </w:tcPr>
          <w:p w14:paraId="2A5A8EF8" w14:textId="77777777" w:rsidR="00D27ADC" w:rsidRPr="00212F30" w:rsidRDefault="00D27ADC" w:rsidP="006B43A2">
            <w:pPr>
              <w:ind w:right="-360"/>
            </w:pPr>
          </w:p>
        </w:tc>
        <w:tc>
          <w:tcPr>
            <w:tcW w:w="2856" w:type="dxa"/>
            <w:gridSpan w:val="3"/>
          </w:tcPr>
          <w:p w14:paraId="6F2B8254" w14:textId="4D245B53" w:rsidR="00D27ADC" w:rsidRPr="00212F30" w:rsidRDefault="00D27ADC" w:rsidP="006B43A2">
            <w:pPr>
              <w:tabs>
                <w:tab w:val="right" w:pos="9180"/>
              </w:tabs>
              <w:ind w:right="-360"/>
            </w:pPr>
            <w:r>
              <w:t>Total operating expenses</w:t>
            </w:r>
          </w:p>
        </w:tc>
        <w:tc>
          <w:tcPr>
            <w:tcW w:w="537" w:type="dxa"/>
          </w:tcPr>
          <w:p w14:paraId="7333C03B" w14:textId="77777777" w:rsidR="00D27ADC" w:rsidRPr="00212F30" w:rsidRDefault="00D27ADC" w:rsidP="006B43A2">
            <w:pPr>
              <w:tabs>
                <w:tab w:val="decimal" w:pos="1062"/>
                <w:tab w:val="right" w:pos="9180"/>
              </w:tabs>
              <w:ind w:right="-18"/>
            </w:pPr>
          </w:p>
        </w:tc>
        <w:tc>
          <w:tcPr>
            <w:tcW w:w="537" w:type="dxa"/>
          </w:tcPr>
          <w:p w14:paraId="2362910B" w14:textId="77777777" w:rsidR="00D27ADC" w:rsidRPr="00212F30" w:rsidRDefault="00D27ADC" w:rsidP="006B43A2">
            <w:pPr>
              <w:tabs>
                <w:tab w:val="right" w:pos="9180"/>
              </w:tabs>
              <w:ind w:right="-360"/>
            </w:pPr>
          </w:p>
        </w:tc>
        <w:tc>
          <w:tcPr>
            <w:tcW w:w="1960" w:type="dxa"/>
          </w:tcPr>
          <w:p w14:paraId="17632558" w14:textId="77777777" w:rsidR="00D27ADC" w:rsidRPr="00212F30" w:rsidRDefault="00D27ADC" w:rsidP="006B43A2">
            <w:pPr>
              <w:tabs>
                <w:tab w:val="right" w:pos="9180"/>
              </w:tabs>
              <w:ind w:right="-360"/>
            </w:pPr>
          </w:p>
        </w:tc>
        <w:tc>
          <w:tcPr>
            <w:tcW w:w="1782" w:type="dxa"/>
            <w:tcBorders>
              <w:top w:val="single" w:sz="4" w:space="0" w:color="auto"/>
            </w:tcBorders>
          </w:tcPr>
          <w:p w14:paraId="519C6C59" w14:textId="27F78B1B" w:rsidR="00D27ADC" w:rsidRPr="00212F30" w:rsidRDefault="00D27ADC" w:rsidP="006B43A2">
            <w:pPr>
              <w:tabs>
                <w:tab w:val="decimal" w:pos="1295"/>
                <w:tab w:val="right" w:pos="9180"/>
              </w:tabs>
              <w:ind w:right="-18"/>
            </w:pPr>
            <w:r>
              <w:tab/>
            </w:r>
            <w:r w:rsidR="00E53694">
              <w:t>1,311,281</w:t>
            </w:r>
          </w:p>
        </w:tc>
        <w:tc>
          <w:tcPr>
            <w:tcW w:w="359" w:type="dxa"/>
          </w:tcPr>
          <w:p w14:paraId="78F561D4" w14:textId="77777777" w:rsidR="00D27ADC" w:rsidRPr="00212F30" w:rsidRDefault="00D27ADC" w:rsidP="006B43A2">
            <w:pPr>
              <w:tabs>
                <w:tab w:val="right" w:pos="9180"/>
              </w:tabs>
              <w:ind w:right="-360"/>
            </w:pPr>
          </w:p>
        </w:tc>
        <w:tc>
          <w:tcPr>
            <w:tcW w:w="1782" w:type="dxa"/>
            <w:tcBorders>
              <w:top w:val="single" w:sz="4" w:space="0" w:color="auto"/>
            </w:tcBorders>
          </w:tcPr>
          <w:p w14:paraId="78B6F780" w14:textId="75B255CD" w:rsidR="00D27ADC" w:rsidRDefault="00D27ADC" w:rsidP="006B43A2">
            <w:pPr>
              <w:tabs>
                <w:tab w:val="decimal" w:pos="1314"/>
                <w:tab w:val="right" w:pos="9180"/>
              </w:tabs>
              <w:ind w:right="-18"/>
            </w:pPr>
            <w:r>
              <w:tab/>
            </w:r>
            <w:r w:rsidR="004F479E">
              <w:t>1,065,782</w:t>
            </w:r>
          </w:p>
        </w:tc>
      </w:tr>
      <w:tr w:rsidR="006E7CF8" w:rsidRPr="00212F30" w14:paraId="1A03DC0E" w14:textId="77777777" w:rsidTr="00D27ADC">
        <w:trPr>
          <w:trHeight w:val="230"/>
        </w:trPr>
        <w:tc>
          <w:tcPr>
            <w:tcW w:w="375" w:type="dxa"/>
          </w:tcPr>
          <w:p w14:paraId="5E1F3592" w14:textId="77777777" w:rsidR="006E7CF8" w:rsidRPr="00212F30" w:rsidRDefault="006E7CF8" w:rsidP="006B43A2">
            <w:pPr>
              <w:ind w:right="-360"/>
            </w:pPr>
          </w:p>
        </w:tc>
        <w:tc>
          <w:tcPr>
            <w:tcW w:w="448" w:type="dxa"/>
          </w:tcPr>
          <w:p w14:paraId="6E570C96" w14:textId="77777777" w:rsidR="006E7CF8" w:rsidRPr="00212F30" w:rsidRDefault="006E7CF8" w:rsidP="006B43A2">
            <w:pPr>
              <w:ind w:right="-360"/>
            </w:pPr>
          </w:p>
        </w:tc>
        <w:tc>
          <w:tcPr>
            <w:tcW w:w="448" w:type="dxa"/>
          </w:tcPr>
          <w:p w14:paraId="1C8ABB93" w14:textId="77777777" w:rsidR="006E7CF8" w:rsidRPr="00212F30" w:rsidRDefault="006E7CF8" w:rsidP="006B43A2">
            <w:pPr>
              <w:ind w:right="-360"/>
            </w:pPr>
          </w:p>
        </w:tc>
        <w:tc>
          <w:tcPr>
            <w:tcW w:w="1960" w:type="dxa"/>
          </w:tcPr>
          <w:p w14:paraId="114AAB3B" w14:textId="77777777" w:rsidR="006E7CF8" w:rsidRPr="00212F30" w:rsidRDefault="006E7CF8" w:rsidP="006B43A2">
            <w:pPr>
              <w:tabs>
                <w:tab w:val="right" w:pos="9180"/>
              </w:tabs>
              <w:ind w:right="-360"/>
            </w:pPr>
          </w:p>
        </w:tc>
        <w:tc>
          <w:tcPr>
            <w:tcW w:w="537" w:type="dxa"/>
          </w:tcPr>
          <w:p w14:paraId="7897AC14" w14:textId="77777777" w:rsidR="006E7CF8" w:rsidRPr="00212F30" w:rsidRDefault="006E7CF8" w:rsidP="006B43A2">
            <w:pPr>
              <w:tabs>
                <w:tab w:val="right" w:pos="9180"/>
              </w:tabs>
              <w:ind w:right="-18"/>
            </w:pPr>
          </w:p>
        </w:tc>
        <w:tc>
          <w:tcPr>
            <w:tcW w:w="537" w:type="dxa"/>
          </w:tcPr>
          <w:p w14:paraId="6DB17D90" w14:textId="77777777" w:rsidR="006E7CF8" w:rsidRPr="00212F30" w:rsidRDefault="006E7CF8" w:rsidP="006B43A2">
            <w:pPr>
              <w:tabs>
                <w:tab w:val="right" w:pos="9180"/>
              </w:tabs>
              <w:ind w:right="-360"/>
            </w:pPr>
          </w:p>
        </w:tc>
        <w:tc>
          <w:tcPr>
            <w:tcW w:w="1960" w:type="dxa"/>
          </w:tcPr>
          <w:p w14:paraId="4D2AF8B8" w14:textId="77777777" w:rsidR="006E7CF8" w:rsidRPr="00212F30" w:rsidRDefault="006E7CF8" w:rsidP="006B43A2">
            <w:pPr>
              <w:tabs>
                <w:tab w:val="right" w:pos="9180"/>
              </w:tabs>
              <w:ind w:right="-360"/>
            </w:pPr>
          </w:p>
        </w:tc>
        <w:tc>
          <w:tcPr>
            <w:tcW w:w="1782" w:type="dxa"/>
          </w:tcPr>
          <w:p w14:paraId="04948AFB" w14:textId="77777777" w:rsidR="006E7CF8" w:rsidRPr="00212F30" w:rsidRDefault="006E7CF8" w:rsidP="006B43A2">
            <w:pPr>
              <w:tabs>
                <w:tab w:val="decimal" w:pos="1062"/>
                <w:tab w:val="right" w:pos="9180"/>
              </w:tabs>
              <w:ind w:right="-18"/>
            </w:pPr>
          </w:p>
        </w:tc>
        <w:tc>
          <w:tcPr>
            <w:tcW w:w="359" w:type="dxa"/>
          </w:tcPr>
          <w:p w14:paraId="51A47462" w14:textId="77777777" w:rsidR="006E7CF8" w:rsidRPr="00212F30" w:rsidRDefault="006E7CF8" w:rsidP="006B43A2">
            <w:pPr>
              <w:tabs>
                <w:tab w:val="right" w:pos="9180"/>
              </w:tabs>
              <w:ind w:right="-360"/>
            </w:pPr>
          </w:p>
        </w:tc>
        <w:tc>
          <w:tcPr>
            <w:tcW w:w="1782" w:type="dxa"/>
          </w:tcPr>
          <w:p w14:paraId="2D11AC18" w14:textId="77777777" w:rsidR="006E7CF8" w:rsidRPr="00212F30" w:rsidRDefault="006E7CF8" w:rsidP="006B43A2">
            <w:pPr>
              <w:tabs>
                <w:tab w:val="decimal" w:pos="972"/>
                <w:tab w:val="right" w:pos="9180"/>
              </w:tabs>
              <w:ind w:right="-18"/>
            </w:pPr>
          </w:p>
        </w:tc>
      </w:tr>
      <w:tr w:rsidR="006E7CF8" w:rsidRPr="00212F30" w14:paraId="5AE77C09" w14:textId="77777777" w:rsidTr="006B43A2">
        <w:trPr>
          <w:trHeight w:val="230"/>
        </w:trPr>
        <w:tc>
          <w:tcPr>
            <w:tcW w:w="3231" w:type="dxa"/>
            <w:gridSpan w:val="4"/>
          </w:tcPr>
          <w:p w14:paraId="211DB591" w14:textId="77777777" w:rsidR="006E7CF8" w:rsidRPr="00212F30" w:rsidRDefault="006E7CF8" w:rsidP="006B43A2">
            <w:pPr>
              <w:tabs>
                <w:tab w:val="right" w:pos="9180"/>
              </w:tabs>
              <w:ind w:right="-360"/>
            </w:pPr>
            <w:r w:rsidRPr="00212F30">
              <w:t>Loss from operations</w:t>
            </w:r>
          </w:p>
        </w:tc>
        <w:tc>
          <w:tcPr>
            <w:tcW w:w="537" w:type="dxa"/>
          </w:tcPr>
          <w:p w14:paraId="0BCB4329" w14:textId="77777777" w:rsidR="006E7CF8" w:rsidRPr="00212F30" w:rsidRDefault="006E7CF8" w:rsidP="006B43A2">
            <w:pPr>
              <w:tabs>
                <w:tab w:val="decimal" w:pos="1062"/>
                <w:tab w:val="right" w:pos="9180"/>
              </w:tabs>
              <w:ind w:right="-18"/>
            </w:pPr>
          </w:p>
        </w:tc>
        <w:tc>
          <w:tcPr>
            <w:tcW w:w="537" w:type="dxa"/>
          </w:tcPr>
          <w:p w14:paraId="0FDC3A50" w14:textId="77777777" w:rsidR="006E7CF8" w:rsidRPr="00212F30" w:rsidRDefault="006E7CF8" w:rsidP="006B43A2">
            <w:pPr>
              <w:tabs>
                <w:tab w:val="right" w:pos="9180"/>
              </w:tabs>
              <w:ind w:right="-360"/>
            </w:pPr>
          </w:p>
        </w:tc>
        <w:tc>
          <w:tcPr>
            <w:tcW w:w="1960" w:type="dxa"/>
          </w:tcPr>
          <w:p w14:paraId="0EB5CE4E" w14:textId="77777777" w:rsidR="006E7CF8" w:rsidRPr="00212F30" w:rsidRDefault="006E7CF8" w:rsidP="006B43A2">
            <w:pPr>
              <w:tabs>
                <w:tab w:val="right" w:pos="9180"/>
              </w:tabs>
              <w:ind w:right="-360"/>
            </w:pPr>
          </w:p>
        </w:tc>
        <w:tc>
          <w:tcPr>
            <w:tcW w:w="1782" w:type="dxa"/>
          </w:tcPr>
          <w:p w14:paraId="6FB8457F" w14:textId="25011A28" w:rsidR="006E7CF8" w:rsidRPr="00212F30" w:rsidRDefault="006E7CF8" w:rsidP="006B43A2">
            <w:pPr>
              <w:tabs>
                <w:tab w:val="decimal" w:pos="1295"/>
                <w:tab w:val="right" w:pos="9180"/>
              </w:tabs>
              <w:ind w:right="-18"/>
            </w:pPr>
            <w:r w:rsidRPr="00212F30">
              <w:tab/>
            </w:r>
            <w:r w:rsidR="00E53694">
              <w:t>(595,304)</w:t>
            </w:r>
          </w:p>
        </w:tc>
        <w:tc>
          <w:tcPr>
            <w:tcW w:w="359" w:type="dxa"/>
          </w:tcPr>
          <w:p w14:paraId="0B4F1E10" w14:textId="77777777" w:rsidR="006E7CF8" w:rsidRPr="00212F30" w:rsidRDefault="006E7CF8" w:rsidP="006B43A2">
            <w:pPr>
              <w:tabs>
                <w:tab w:val="right" w:pos="9180"/>
              </w:tabs>
              <w:ind w:right="-360"/>
            </w:pPr>
          </w:p>
        </w:tc>
        <w:tc>
          <w:tcPr>
            <w:tcW w:w="1782" w:type="dxa"/>
          </w:tcPr>
          <w:p w14:paraId="75410847" w14:textId="6625AFDC" w:rsidR="006E7CF8" w:rsidRPr="00212F30" w:rsidRDefault="006E7CF8" w:rsidP="006B43A2">
            <w:pPr>
              <w:tabs>
                <w:tab w:val="decimal" w:pos="1314"/>
                <w:tab w:val="right" w:pos="9180"/>
              </w:tabs>
              <w:ind w:right="-18"/>
            </w:pPr>
            <w:r>
              <w:tab/>
              <w:t>(</w:t>
            </w:r>
            <w:r w:rsidR="004F479E">
              <w:t>701,550</w:t>
            </w:r>
            <w:r w:rsidRPr="00212F30">
              <w:t>)</w:t>
            </w:r>
          </w:p>
        </w:tc>
      </w:tr>
      <w:tr w:rsidR="006E7CF8" w:rsidRPr="00212F30" w14:paraId="443A6474" w14:textId="77777777" w:rsidTr="006B43A2">
        <w:trPr>
          <w:trHeight w:val="230"/>
        </w:trPr>
        <w:tc>
          <w:tcPr>
            <w:tcW w:w="375" w:type="dxa"/>
          </w:tcPr>
          <w:p w14:paraId="7D8E4300" w14:textId="77777777" w:rsidR="006E7CF8" w:rsidRPr="00212F30" w:rsidRDefault="006E7CF8" w:rsidP="006B43A2">
            <w:pPr>
              <w:ind w:right="-360"/>
            </w:pPr>
          </w:p>
        </w:tc>
        <w:tc>
          <w:tcPr>
            <w:tcW w:w="448" w:type="dxa"/>
          </w:tcPr>
          <w:p w14:paraId="55AD601E" w14:textId="77777777" w:rsidR="006E7CF8" w:rsidRPr="00212F30" w:rsidRDefault="006E7CF8" w:rsidP="006B43A2">
            <w:pPr>
              <w:ind w:right="-360"/>
            </w:pPr>
          </w:p>
        </w:tc>
        <w:tc>
          <w:tcPr>
            <w:tcW w:w="448" w:type="dxa"/>
          </w:tcPr>
          <w:p w14:paraId="774D4852" w14:textId="77777777" w:rsidR="006E7CF8" w:rsidRPr="00212F30" w:rsidRDefault="006E7CF8" w:rsidP="006B43A2">
            <w:pPr>
              <w:ind w:right="-360"/>
            </w:pPr>
          </w:p>
        </w:tc>
        <w:tc>
          <w:tcPr>
            <w:tcW w:w="1960" w:type="dxa"/>
          </w:tcPr>
          <w:p w14:paraId="6ADC616E" w14:textId="77777777" w:rsidR="006E7CF8" w:rsidRPr="00212F30" w:rsidRDefault="006E7CF8" w:rsidP="006B43A2">
            <w:pPr>
              <w:tabs>
                <w:tab w:val="right" w:pos="9180"/>
              </w:tabs>
              <w:ind w:right="-360"/>
            </w:pPr>
          </w:p>
        </w:tc>
        <w:tc>
          <w:tcPr>
            <w:tcW w:w="537" w:type="dxa"/>
          </w:tcPr>
          <w:p w14:paraId="2392ABAE" w14:textId="77777777" w:rsidR="006E7CF8" w:rsidRPr="00212F30" w:rsidRDefault="006E7CF8" w:rsidP="006B43A2">
            <w:pPr>
              <w:tabs>
                <w:tab w:val="right" w:pos="9180"/>
              </w:tabs>
              <w:ind w:right="-18"/>
            </w:pPr>
          </w:p>
        </w:tc>
        <w:tc>
          <w:tcPr>
            <w:tcW w:w="537" w:type="dxa"/>
          </w:tcPr>
          <w:p w14:paraId="4CD0E948" w14:textId="77777777" w:rsidR="006E7CF8" w:rsidRPr="00212F30" w:rsidRDefault="006E7CF8" w:rsidP="006B43A2">
            <w:pPr>
              <w:tabs>
                <w:tab w:val="right" w:pos="9180"/>
              </w:tabs>
              <w:ind w:right="-360"/>
            </w:pPr>
          </w:p>
        </w:tc>
        <w:tc>
          <w:tcPr>
            <w:tcW w:w="1960" w:type="dxa"/>
          </w:tcPr>
          <w:p w14:paraId="05925C68" w14:textId="77777777" w:rsidR="006E7CF8" w:rsidRPr="00212F30" w:rsidRDefault="006E7CF8" w:rsidP="006B43A2">
            <w:pPr>
              <w:tabs>
                <w:tab w:val="right" w:pos="9180"/>
              </w:tabs>
              <w:ind w:right="-360"/>
            </w:pPr>
          </w:p>
        </w:tc>
        <w:tc>
          <w:tcPr>
            <w:tcW w:w="1782" w:type="dxa"/>
          </w:tcPr>
          <w:p w14:paraId="5AEFAED0" w14:textId="77777777" w:rsidR="006E7CF8" w:rsidRPr="00212F30" w:rsidRDefault="006E7CF8" w:rsidP="006B43A2">
            <w:pPr>
              <w:tabs>
                <w:tab w:val="decimal" w:pos="1295"/>
                <w:tab w:val="right" w:pos="9180"/>
              </w:tabs>
              <w:ind w:right="-18"/>
            </w:pPr>
          </w:p>
        </w:tc>
        <w:tc>
          <w:tcPr>
            <w:tcW w:w="359" w:type="dxa"/>
          </w:tcPr>
          <w:p w14:paraId="381241C5" w14:textId="77777777" w:rsidR="006E7CF8" w:rsidRPr="00212F30" w:rsidRDefault="006E7CF8" w:rsidP="006B43A2">
            <w:pPr>
              <w:tabs>
                <w:tab w:val="right" w:pos="9180"/>
              </w:tabs>
              <w:ind w:right="-360"/>
            </w:pPr>
          </w:p>
        </w:tc>
        <w:tc>
          <w:tcPr>
            <w:tcW w:w="1782" w:type="dxa"/>
          </w:tcPr>
          <w:p w14:paraId="2F720519" w14:textId="77777777" w:rsidR="006E7CF8" w:rsidRPr="00212F30" w:rsidRDefault="006E7CF8" w:rsidP="006B43A2">
            <w:pPr>
              <w:tabs>
                <w:tab w:val="decimal" w:pos="1314"/>
                <w:tab w:val="right" w:pos="9180"/>
              </w:tabs>
              <w:ind w:right="-18"/>
            </w:pPr>
          </w:p>
        </w:tc>
      </w:tr>
      <w:tr w:rsidR="006E7CF8" w:rsidRPr="00212F30" w14:paraId="14B4FA9C" w14:textId="77777777" w:rsidTr="006B43A2">
        <w:trPr>
          <w:trHeight w:val="230"/>
        </w:trPr>
        <w:tc>
          <w:tcPr>
            <w:tcW w:w="3231" w:type="dxa"/>
            <w:gridSpan w:val="4"/>
          </w:tcPr>
          <w:p w14:paraId="0F2C7DDA" w14:textId="748841EA" w:rsidR="006E7CF8" w:rsidRPr="00212F30" w:rsidRDefault="006E7CF8" w:rsidP="006B43A2">
            <w:pPr>
              <w:tabs>
                <w:tab w:val="right" w:pos="9180"/>
              </w:tabs>
              <w:ind w:right="-360"/>
            </w:pPr>
            <w:r>
              <w:t>Other income</w:t>
            </w:r>
            <w:r w:rsidR="00B1007E">
              <w:t xml:space="preserve"> (expense)</w:t>
            </w:r>
            <w:r w:rsidRPr="00212F30">
              <w:t>:</w:t>
            </w:r>
          </w:p>
        </w:tc>
        <w:tc>
          <w:tcPr>
            <w:tcW w:w="537" w:type="dxa"/>
          </w:tcPr>
          <w:p w14:paraId="38E4C127" w14:textId="77777777" w:rsidR="006E7CF8" w:rsidRPr="00212F30" w:rsidRDefault="006E7CF8" w:rsidP="006B43A2">
            <w:pPr>
              <w:tabs>
                <w:tab w:val="decimal" w:pos="1062"/>
                <w:tab w:val="right" w:pos="9180"/>
              </w:tabs>
              <w:ind w:right="-18"/>
            </w:pPr>
          </w:p>
        </w:tc>
        <w:tc>
          <w:tcPr>
            <w:tcW w:w="537" w:type="dxa"/>
          </w:tcPr>
          <w:p w14:paraId="3AD2CE69" w14:textId="77777777" w:rsidR="006E7CF8" w:rsidRPr="00212F30" w:rsidRDefault="006E7CF8" w:rsidP="006B43A2">
            <w:pPr>
              <w:tabs>
                <w:tab w:val="right" w:pos="9180"/>
              </w:tabs>
              <w:ind w:right="-360"/>
            </w:pPr>
          </w:p>
        </w:tc>
        <w:tc>
          <w:tcPr>
            <w:tcW w:w="1960" w:type="dxa"/>
          </w:tcPr>
          <w:p w14:paraId="4445526F" w14:textId="77777777" w:rsidR="006E7CF8" w:rsidRPr="00212F30" w:rsidRDefault="006E7CF8" w:rsidP="006B43A2">
            <w:pPr>
              <w:tabs>
                <w:tab w:val="right" w:pos="9180"/>
              </w:tabs>
              <w:ind w:right="-360"/>
            </w:pPr>
          </w:p>
        </w:tc>
        <w:tc>
          <w:tcPr>
            <w:tcW w:w="1782" w:type="dxa"/>
          </w:tcPr>
          <w:p w14:paraId="32784052" w14:textId="77777777" w:rsidR="006E7CF8" w:rsidRPr="00212F30" w:rsidRDefault="006E7CF8" w:rsidP="006B43A2">
            <w:pPr>
              <w:tabs>
                <w:tab w:val="decimal" w:pos="1295"/>
                <w:tab w:val="right" w:pos="9180"/>
              </w:tabs>
              <w:ind w:right="-18"/>
            </w:pPr>
          </w:p>
        </w:tc>
        <w:tc>
          <w:tcPr>
            <w:tcW w:w="359" w:type="dxa"/>
          </w:tcPr>
          <w:p w14:paraId="4A485504" w14:textId="77777777" w:rsidR="006E7CF8" w:rsidRPr="00212F30" w:rsidRDefault="006E7CF8" w:rsidP="006B43A2">
            <w:pPr>
              <w:tabs>
                <w:tab w:val="right" w:pos="9180"/>
              </w:tabs>
              <w:ind w:right="-360"/>
            </w:pPr>
          </w:p>
        </w:tc>
        <w:tc>
          <w:tcPr>
            <w:tcW w:w="1782" w:type="dxa"/>
          </w:tcPr>
          <w:p w14:paraId="53F26261" w14:textId="77777777" w:rsidR="006E7CF8" w:rsidRPr="00212F30" w:rsidRDefault="006E7CF8" w:rsidP="006B43A2">
            <w:pPr>
              <w:tabs>
                <w:tab w:val="decimal" w:pos="1314"/>
                <w:tab w:val="right" w:pos="9180"/>
              </w:tabs>
              <w:ind w:right="-18"/>
            </w:pPr>
          </w:p>
        </w:tc>
      </w:tr>
      <w:tr w:rsidR="006E7CF8" w:rsidRPr="00212F30" w14:paraId="44486BE7" w14:textId="77777777" w:rsidTr="006B43A2">
        <w:trPr>
          <w:trHeight w:val="230"/>
        </w:trPr>
        <w:tc>
          <w:tcPr>
            <w:tcW w:w="375" w:type="dxa"/>
          </w:tcPr>
          <w:p w14:paraId="7DFEDE34" w14:textId="77777777" w:rsidR="006E7CF8" w:rsidRPr="00212F30" w:rsidRDefault="006E7CF8" w:rsidP="006B43A2">
            <w:pPr>
              <w:ind w:right="-360"/>
            </w:pPr>
          </w:p>
        </w:tc>
        <w:tc>
          <w:tcPr>
            <w:tcW w:w="2856" w:type="dxa"/>
            <w:gridSpan w:val="3"/>
          </w:tcPr>
          <w:p w14:paraId="359F5F30" w14:textId="77777777" w:rsidR="006E7CF8" w:rsidRPr="00212F30" w:rsidRDefault="006E7CF8" w:rsidP="006B43A2">
            <w:pPr>
              <w:tabs>
                <w:tab w:val="right" w:pos="9180"/>
              </w:tabs>
              <w:ind w:right="-360"/>
            </w:pPr>
            <w:r w:rsidRPr="00212F30">
              <w:t>Interest income</w:t>
            </w:r>
          </w:p>
        </w:tc>
        <w:tc>
          <w:tcPr>
            <w:tcW w:w="537" w:type="dxa"/>
          </w:tcPr>
          <w:p w14:paraId="3E13764D" w14:textId="77777777" w:rsidR="006E7CF8" w:rsidRPr="00212F30" w:rsidRDefault="006E7CF8" w:rsidP="006B43A2">
            <w:pPr>
              <w:tabs>
                <w:tab w:val="decimal" w:pos="1062"/>
                <w:tab w:val="right" w:pos="9180"/>
              </w:tabs>
              <w:ind w:right="-18"/>
            </w:pPr>
          </w:p>
        </w:tc>
        <w:tc>
          <w:tcPr>
            <w:tcW w:w="537" w:type="dxa"/>
          </w:tcPr>
          <w:p w14:paraId="0BAE34DA" w14:textId="77777777" w:rsidR="006E7CF8" w:rsidRPr="00212F30" w:rsidRDefault="006E7CF8" w:rsidP="006B43A2">
            <w:pPr>
              <w:tabs>
                <w:tab w:val="right" w:pos="9180"/>
              </w:tabs>
              <w:ind w:right="-360"/>
            </w:pPr>
          </w:p>
        </w:tc>
        <w:tc>
          <w:tcPr>
            <w:tcW w:w="1960" w:type="dxa"/>
          </w:tcPr>
          <w:p w14:paraId="352E509C" w14:textId="77777777" w:rsidR="006E7CF8" w:rsidRPr="00212F30" w:rsidRDefault="006E7CF8" w:rsidP="006B43A2">
            <w:pPr>
              <w:tabs>
                <w:tab w:val="right" w:pos="9180"/>
              </w:tabs>
              <w:ind w:right="-360"/>
            </w:pPr>
          </w:p>
        </w:tc>
        <w:tc>
          <w:tcPr>
            <w:tcW w:w="1782" w:type="dxa"/>
          </w:tcPr>
          <w:p w14:paraId="4CD73A1A" w14:textId="185B39D3" w:rsidR="006E7CF8" w:rsidRPr="00212F30" w:rsidRDefault="006E7CF8" w:rsidP="006B43A2">
            <w:pPr>
              <w:tabs>
                <w:tab w:val="decimal" w:pos="1295"/>
                <w:tab w:val="right" w:pos="9180"/>
              </w:tabs>
              <w:ind w:right="-18"/>
            </w:pPr>
            <w:r>
              <w:tab/>
            </w:r>
            <w:r w:rsidR="00E53694">
              <w:t>752</w:t>
            </w:r>
          </w:p>
        </w:tc>
        <w:tc>
          <w:tcPr>
            <w:tcW w:w="359" w:type="dxa"/>
          </w:tcPr>
          <w:p w14:paraId="77DCD195" w14:textId="77777777" w:rsidR="006E7CF8" w:rsidRPr="00212F30" w:rsidRDefault="006E7CF8" w:rsidP="006B43A2">
            <w:pPr>
              <w:tabs>
                <w:tab w:val="right" w:pos="9180"/>
              </w:tabs>
              <w:ind w:right="-360"/>
            </w:pPr>
          </w:p>
        </w:tc>
        <w:tc>
          <w:tcPr>
            <w:tcW w:w="1782" w:type="dxa"/>
          </w:tcPr>
          <w:p w14:paraId="6D612EAC" w14:textId="2FC944B6" w:rsidR="006E7CF8" w:rsidRPr="00212F30" w:rsidRDefault="006E7CF8" w:rsidP="006B43A2">
            <w:pPr>
              <w:tabs>
                <w:tab w:val="decimal" w:pos="1314"/>
                <w:tab w:val="right" w:pos="9180"/>
              </w:tabs>
              <w:ind w:right="-18"/>
            </w:pPr>
            <w:r>
              <w:tab/>
            </w:r>
            <w:r w:rsidR="006B2167">
              <w:t>1,</w:t>
            </w:r>
            <w:r w:rsidR="004F479E">
              <w:t>224</w:t>
            </w:r>
          </w:p>
        </w:tc>
      </w:tr>
      <w:tr w:rsidR="00B1007E" w:rsidRPr="00212F30" w14:paraId="18BDC348" w14:textId="77777777" w:rsidTr="00D27ADC">
        <w:trPr>
          <w:trHeight w:val="230"/>
        </w:trPr>
        <w:tc>
          <w:tcPr>
            <w:tcW w:w="375" w:type="dxa"/>
          </w:tcPr>
          <w:p w14:paraId="5670B0EB" w14:textId="77777777" w:rsidR="00B1007E" w:rsidRPr="00212F30" w:rsidRDefault="00B1007E" w:rsidP="006B43A2">
            <w:pPr>
              <w:ind w:right="-360"/>
            </w:pPr>
          </w:p>
        </w:tc>
        <w:tc>
          <w:tcPr>
            <w:tcW w:w="2856" w:type="dxa"/>
            <w:gridSpan w:val="3"/>
          </w:tcPr>
          <w:p w14:paraId="3C3FFE37" w14:textId="35052428" w:rsidR="00B1007E" w:rsidRPr="00212F30" w:rsidRDefault="00B1007E" w:rsidP="006B43A2">
            <w:pPr>
              <w:tabs>
                <w:tab w:val="right" w:pos="9180"/>
              </w:tabs>
              <w:ind w:right="-360"/>
            </w:pPr>
            <w:r>
              <w:t>Interest expense</w:t>
            </w:r>
          </w:p>
        </w:tc>
        <w:tc>
          <w:tcPr>
            <w:tcW w:w="537" w:type="dxa"/>
          </w:tcPr>
          <w:p w14:paraId="7E084B75" w14:textId="77777777" w:rsidR="00B1007E" w:rsidRPr="00212F30" w:rsidRDefault="00B1007E" w:rsidP="006B43A2">
            <w:pPr>
              <w:tabs>
                <w:tab w:val="decimal" w:pos="1062"/>
                <w:tab w:val="right" w:pos="9180"/>
              </w:tabs>
              <w:ind w:right="-18"/>
            </w:pPr>
          </w:p>
        </w:tc>
        <w:tc>
          <w:tcPr>
            <w:tcW w:w="537" w:type="dxa"/>
          </w:tcPr>
          <w:p w14:paraId="1F43D2A6" w14:textId="77777777" w:rsidR="00B1007E" w:rsidRPr="00212F30" w:rsidRDefault="00B1007E" w:rsidP="006B43A2">
            <w:pPr>
              <w:tabs>
                <w:tab w:val="right" w:pos="9180"/>
              </w:tabs>
              <w:ind w:right="-360"/>
            </w:pPr>
          </w:p>
        </w:tc>
        <w:tc>
          <w:tcPr>
            <w:tcW w:w="1960" w:type="dxa"/>
          </w:tcPr>
          <w:p w14:paraId="07F4E99F" w14:textId="77777777" w:rsidR="00B1007E" w:rsidRPr="00212F30" w:rsidRDefault="00B1007E" w:rsidP="00B1007E">
            <w:pPr>
              <w:tabs>
                <w:tab w:val="right" w:pos="9180"/>
              </w:tabs>
              <w:ind w:right="-360"/>
            </w:pPr>
          </w:p>
        </w:tc>
        <w:tc>
          <w:tcPr>
            <w:tcW w:w="1782" w:type="dxa"/>
            <w:tcBorders>
              <w:bottom w:val="single" w:sz="4" w:space="0" w:color="auto"/>
            </w:tcBorders>
          </w:tcPr>
          <w:p w14:paraId="59B33EE5" w14:textId="728BD2C4" w:rsidR="00B1007E" w:rsidRDefault="00B1007E" w:rsidP="006B43A2">
            <w:pPr>
              <w:tabs>
                <w:tab w:val="decimal" w:pos="1295"/>
                <w:tab w:val="right" w:pos="9180"/>
              </w:tabs>
              <w:ind w:right="-18"/>
            </w:pPr>
            <w:r>
              <w:tab/>
            </w:r>
            <w:r w:rsidR="00E53694">
              <w:t>(1,142)</w:t>
            </w:r>
          </w:p>
        </w:tc>
        <w:tc>
          <w:tcPr>
            <w:tcW w:w="359" w:type="dxa"/>
          </w:tcPr>
          <w:p w14:paraId="4C80B1A1" w14:textId="77777777" w:rsidR="00B1007E" w:rsidRPr="00212F30" w:rsidRDefault="00B1007E" w:rsidP="006B43A2">
            <w:pPr>
              <w:tabs>
                <w:tab w:val="right" w:pos="9180"/>
              </w:tabs>
              <w:ind w:right="-360"/>
            </w:pPr>
          </w:p>
        </w:tc>
        <w:tc>
          <w:tcPr>
            <w:tcW w:w="1782" w:type="dxa"/>
            <w:tcBorders>
              <w:bottom w:val="single" w:sz="4" w:space="0" w:color="auto"/>
            </w:tcBorders>
          </w:tcPr>
          <w:p w14:paraId="002B508C" w14:textId="27D98C1F" w:rsidR="00B1007E" w:rsidRDefault="00B1007E" w:rsidP="006B43A2">
            <w:pPr>
              <w:tabs>
                <w:tab w:val="decimal" w:pos="1314"/>
                <w:tab w:val="right" w:pos="9180"/>
              </w:tabs>
              <w:ind w:right="-18"/>
            </w:pPr>
            <w:r>
              <w:tab/>
            </w:r>
            <w:r w:rsidR="006B2167">
              <w:t>(</w:t>
            </w:r>
            <w:r w:rsidR="004F479E">
              <w:t>1,128</w:t>
            </w:r>
            <w:r w:rsidR="006B2167">
              <w:t>)</w:t>
            </w:r>
          </w:p>
        </w:tc>
      </w:tr>
      <w:tr w:rsidR="00D27ADC" w:rsidRPr="00212F30" w14:paraId="5098DC8B" w14:textId="77777777" w:rsidTr="00D27ADC">
        <w:trPr>
          <w:trHeight w:val="230"/>
        </w:trPr>
        <w:tc>
          <w:tcPr>
            <w:tcW w:w="375" w:type="dxa"/>
          </w:tcPr>
          <w:p w14:paraId="4D60F1A2" w14:textId="77777777" w:rsidR="00D27ADC" w:rsidRPr="00212F30" w:rsidRDefault="00D27ADC" w:rsidP="006B43A2">
            <w:pPr>
              <w:ind w:right="-360"/>
            </w:pPr>
          </w:p>
        </w:tc>
        <w:tc>
          <w:tcPr>
            <w:tcW w:w="2856" w:type="dxa"/>
            <w:gridSpan w:val="3"/>
          </w:tcPr>
          <w:p w14:paraId="1B22AC1F" w14:textId="35B89A0D" w:rsidR="00D27ADC" w:rsidRDefault="00D27ADC" w:rsidP="006B43A2">
            <w:pPr>
              <w:tabs>
                <w:tab w:val="right" w:pos="9180"/>
              </w:tabs>
              <w:ind w:right="-360"/>
            </w:pPr>
            <w:r>
              <w:t>Total other income (expense)</w:t>
            </w:r>
          </w:p>
        </w:tc>
        <w:tc>
          <w:tcPr>
            <w:tcW w:w="537" w:type="dxa"/>
          </w:tcPr>
          <w:p w14:paraId="1C31D3B1" w14:textId="77777777" w:rsidR="00D27ADC" w:rsidRPr="00212F30" w:rsidRDefault="00D27ADC" w:rsidP="006B43A2">
            <w:pPr>
              <w:tabs>
                <w:tab w:val="decimal" w:pos="1062"/>
                <w:tab w:val="right" w:pos="9180"/>
              </w:tabs>
              <w:ind w:right="-18"/>
            </w:pPr>
          </w:p>
        </w:tc>
        <w:tc>
          <w:tcPr>
            <w:tcW w:w="537" w:type="dxa"/>
          </w:tcPr>
          <w:p w14:paraId="3E92EA25" w14:textId="77777777" w:rsidR="00D27ADC" w:rsidRPr="00212F30" w:rsidRDefault="00D27ADC" w:rsidP="006B43A2">
            <w:pPr>
              <w:tabs>
                <w:tab w:val="right" w:pos="9180"/>
              </w:tabs>
              <w:ind w:right="-360"/>
            </w:pPr>
          </w:p>
        </w:tc>
        <w:tc>
          <w:tcPr>
            <w:tcW w:w="1960" w:type="dxa"/>
          </w:tcPr>
          <w:p w14:paraId="252D53CD" w14:textId="77777777" w:rsidR="00D27ADC" w:rsidRPr="00212F30" w:rsidRDefault="00D27ADC" w:rsidP="00B1007E">
            <w:pPr>
              <w:tabs>
                <w:tab w:val="right" w:pos="9180"/>
              </w:tabs>
              <w:ind w:right="-360"/>
            </w:pPr>
          </w:p>
        </w:tc>
        <w:tc>
          <w:tcPr>
            <w:tcW w:w="1782" w:type="dxa"/>
            <w:tcBorders>
              <w:top w:val="single" w:sz="4" w:space="0" w:color="auto"/>
            </w:tcBorders>
          </w:tcPr>
          <w:p w14:paraId="56F4A874" w14:textId="4F2005CB" w:rsidR="00D27ADC" w:rsidRDefault="00D27ADC" w:rsidP="006B43A2">
            <w:pPr>
              <w:tabs>
                <w:tab w:val="decimal" w:pos="1295"/>
                <w:tab w:val="right" w:pos="9180"/>
              </w:tabs>
              <w:ind w:right="-18"/>
            </w:pPr>
            <w:r>
              <w:tab/>
            </w:r>
            <w:r w:rsidR="00E53694">
              <w:t>(390)</w:t>
            </w:r>
          </w:p>
        </w:tc>
        <w:tc>
          <w:tcPr>
            <w:tcW w:w="359" w:type="dxa"/>
          </w:tcPr>
          <w:p w14:paraId="02EF40D6" w14:textId="77777777" w:rsidR="00D27ADC" w:rsidRPr="00212F30" w:rsidRDefault="00D27ADC" w:rsidP="006B43A2">
            <w:pPr>
              <w:tabs>
                <w:tab w:val="right" w:pos="9180"/>
              </w:tabs>
              <w:ind w:right="-360"/>
            </w:pPr>
          </w:p>
        </w:tc>
        <w:tc>
          <w:tcPr>
            <w:tcW w:w="1782" w:type="dxa"/>
            <w:tcBorders>
              <w:top w:val="single" w:sz="4" w:space="0" w:color="auto"/>
            </w:tcBorders>
          </w:tcPr>
          <w:p w14:paraId="2F970B4A" w14:textId="7B83BF97" w:rsidR="00D27ADC" w:rsidRDefault="00D27ADC" w:rsidP="006B43A2">
            <w:pPr>
              <w:tabs>
                <w:tab w:val="decimal" w:pos="1314"/>
                <w:tab w:val="right" w:pos="9180"/>
              </w:tabs>
              <w:ind w:right="-18"/>
            </w:pPr>
            <w:r>
              <w:tab/>
            </w:r>
            <w:r w:rsidR="004F479E">
              <w:t>96</w:t>
            </w:r>
          </w:p>
        </w:tc>
      </w:tr>
      <w:tr w:rsidR="00F415DC" w:rsidRPr="00212F30" w14:paraId="4583BACF" w14:textId="77777777" w:rsidTr="006B43A2">
        <w:trPr>
          <w:trHeight w:val="230"/>
        </w:trPr>
        <w:tc>
          <w:tcPr>
            <w:tcW w:w="375" w:type="dxa"/>
          </w:tcPr>
          <w:p w14:paraId="314B65ED" w14:textId="77777777" w:rsidR="00F415DC" w:rsidRPr="00212F30" w:rsidRDefault="00F415DC" w:rsidP="006B43A2">
            <w:pPr>
              <w:ind w:right="-360"/>
            </w:pPr>
          </w:p>
        </w:tc>
        <w:tc>
          <w:tcPr>
            <w:tcW w:w="448" w:type="dxa"/>
          </w:tcPr>
          <w:p w14:paraId="3492130F" w14:textId="77777777" w:rsidR="00F415DC" w:rsidRPr="00212F30" w:rsidRDefault="00F415DC" w:rsidP="006B43A2">
            <w:pPr>
              <w:ind w:right="-360"/>
            </w:pPr>
          </w:p>
        </w:tc>
        <w:tc>
          <w:tcPr>
            <w:tcW w:w="448" w:type="dxa"/>
          </w:tcPr>
          <w:p w14:paraId="62F1F7BF" w14:textId="77777777" w:rsidR="00F415DC" w:rsidRPr="00212F30" w:rsidRDefault="00F415DC" w:rsidP="006B43A2">
            <w:pPr>
              <w:ind w:right="-360"/>
            </w:pPr>
          </w:p>
        </w:tc>
        <w:tc>
          <w:tcPr>
            <w:tcW w:w="1960" w:type="dxa"/>
          </w:tcPr>
          <w:p w14:paraId="77BA374B" w14:textId="77777777" w:rsidR="00F415DC" w:rsidRPr="00212F30" w:rsidRDefault="00F415DC" w:rsidP="006B43A2">
            <w:pPr>
              <w:tabs>
                <w:tab w:val="right" w:pos="9180"/>
              </w:tabs>
              <w:ind w:right="-360"/>
            </w:pPr>
          </w:p>
        </w:tc>
        <w:tc>
          <w:tcPr>
            <w:tcW w:w="537" w:type="dxa"/>
          </w:tcPr>
          <w:p w14:paraId="3DE84171" w14:textId="77777777" w:rsidR="00F415DC" w:rsidRPr="00212F30" w:rsidRDefault="00F415DC" w:rsidP="006B43A2">
            <w:pPr>
              <w:tabs>
                <w:tab w:val="right" w:pos="9180"/>
              </w:tabs>
              <w:ind w:right="-18"/>
            </w:pPr>
          </w:p>
        </w:tc>
        <w:tc>
          <w:tcPr>
            <w:tcW w:w="537" w:type="dxa"/>
          </w:tcPr>
          <w:p w14:paraId="12235602" w14:textId="77777777" w:rsidR="00F415DC" w:rsidRPr="00212F30" w:rsidRDefault="00F415DC" w:rsidP="006B43A2">
            <w:pPr>
              <w:tabs>
                <w:tab w:val="right" w:pos="9180"/>
              </w:tabs>
              <w:ind w:right="-360"/>
            </w:pPr>
          </w:p>
        </w:tc>
        <w:tc>
          <w:tcPr>
            <w:tcW w:w="1960" w:type="dxa"/>
          </w:tcPr>
          <w:p w14:paraId="70A748EA" w14:textId="77777777" w:rsidR="00F415DC" w:rsidRPr="00212F30" w:rsidRDefault="00F415DC" w:rsidP="006B43A2">
            <w:pPr>
              <w:tabs>
                <w:tab w:val="right" w:pos="9180"/>
              </w:tabs>
              <w:ind w:right="-360"/>
            </w:pPr>
          </w:p>
        </w:tc>
        <w:tc>
          <w:tcPr>
            <w:tcW w:w="1782" w:type="dxa"/>
            <w:tcBorders>
              <w:top w:val="single" w:sz="4" w:space="0" w:color="auto"/>
            </w:tcBorders>
          </w:tcPr>
          <w:p w14:paraId="5CA53011" w14:textId="77777777" w:rsidR="00F415DC" w:rsidRPr="00212F30" w:rsidRDefault="00F415DC" w:rsidP="006B43A2">
            <w:pPr>
              <w:tabs>
                <w:tab w:val="decimal" w:pos="1295"/>
                <w:tab w:val="right" w:pos="9180"/>
              </w:tabs>
              <w:ind w:right="-18"/>
            </w:pPr>
          </w:p>
        </w:tc>
        <w:tc>
          <w:tcPr>
            <w:tcW w:w="359" w:type="dxa"/>
          </w:tcPr>
          <w:p w14:paraId="4831EE24" w14:textId="77777777" w:rsidR="00F415DC" w:rsidRPr="00212F30" w:rsidRDefault="00F415DC" w:rsidP="006B43A2">
            <w:pPr>
              <w:tabs>
                <w:tab w:val="right" w:pos="9180"/>
              </w:tabs>
              <w:ind w:right="-360"/>
            </w:pPr>
          </w:p>
        </w:tc>
        <w:tc>
          <w:tcPr>
            <w:tcW w:w="1782" w:type="dxa"/>
            <w:tcBorders>
              <w:top w:val="single" w:sz="4" w:space="0" w:color="auto"/>
            </w:tcBorders>
          </w:tcPr>
          <w:p w14:paraId="3E89BF7C" w14:textId="77777777" w:rsidR="00F415DC" w:rsidRPr="00212F30" w:rsidRDefault="00F415DC" w:rsidP="006B43A2">
            <w:pPr>
              <w:tabs>
                <w:tab w:val="decimal" w:pos="1314"/>
                <w:tab w:val="right" w:pos="9180"/>
              </w:tabs>
              <w:ind w:right="-18"/>
            </w:pPr>
          </w:p>
        </w:tc>
      </w:tr>
      <w:tr w:rsidR="006E7CF8" w:rsidRPr="008C287F" w14:paraId="4BBE2179" w14:textId="77777777" w:rsidTr="006B43A2">
        <w:trPr>
          <w:trHeight w:val="230"/>
        </w:trPr>
        <w:tc>
          <w:tcPr>
            <w:tcW w:w="3231" w:type="dxa"/>
            <w:gridSpan w:val="4"/>
          </w:tcPr>
          <w:p w14:paraId="78145097" w14:textId="77777777" w:rsidR="006E7CF8" w:rsidRPr="008C287F" w:rsidRDefault="006E7CF8" w:rsidP="006B43A2">
            <w:pPr>
              <w:tabs>
                <w:tab w:val="right" w:pos="9180"/>
              </w:tabs>
              <w:ind w:right="-360"/>
            </w:pPr>
            <w:r w:rsidRPr="008C287F">
              <w:t>Net loss</w:t>
            </w:r>
          </w:p>
        </w:tc>
        <w:tc>
          <w:tcPr>
            <w:tcW w:w="537" w:type="dxa"/>
          </w:tcPr>
          <w:p w14:paraId="3E649F86" w14:textId="77777777" w:rsidR="006E7CF8" w:rsidRPr="008C287F" w:rsidRDefault="006E7CF8" w:rsidP="006B43A2">
            <w:pPr>
              <w:tabs>
                <w:tab w:val="decimal" w:pos="1062"/>
                <w:tab w:val="right" w:pos="9180"/>
              </w:tabs>
              <w:ind w:right="-18"/>
            </w:pPr>
          </w:p>
        </w:tc>
        <w:tc>
          <w:tcPr>
            <w:tcW w:w="537" w:type="dxa"/>
          </w:tcPr>
          <w:p w14:paraId="3548BC76" w14:textId="77777777" w:rsidR="006E7CF8" w:rsidRPr="008C287F" w:rsidRDefault="006E7CF8" w:rsidP="006B43A2">
            <w:pPr>
              <w:tabs>
                <w:tab w:val="right" w:pos="9180"/>
              </w:tabs>
              <w:ind w:right="-360"/>
            </w:pPr>
          </w:p>
        </w:tc>
        <w:tc>
          <w:tcPr>
            <w:tcW w:w="1960" w:type="dxa"/>
          </w:tcPr>
          <w:p w14:paraId="4272BA1B" w14:textId="77777777" w:rsidR="006E7CF8" w:rsidRPr="008C287F" w:rsidRDefault="006E7CF8" w:rsidP="006B43A2">
            <w:pPr>
              <w:tabs>
                <w:tab w:val="right" w:pos="9180"/>
              </w:tabs>
              <w:ind w:right="-360"/>
            </w:pPr>
          </w:p>
        </w:tc>
        <w:tc>
          <w:tcPr>
            <w:tcW w:w="1782" w:type="dxa"/>
            <w:tcBorders>
              <w:bottom w:val="double" w:sz="4" w:space="0" w:color="auto"/>
            </w:tcBorders>
          </w:tcPr>
          <w:p w14:paraId="465A8356" w14:textId="1863B745" w:rsidR="006E7CF8" w:rsidRPr="008C287F" w:rsidRDefault="006E7CF8" w:rsidP="006B43A2">
            <w:pPr>
              <w:tabs>
                <w:tab w:val="decimal" w:pos="1295"/>
                <w:tab w:val="right" w:pos="9180"/>
              </w:tabs>
              <w:ind w:right="-18"/>
            </w:pPr>
            <w:r w:rsidRPr="008C287F">
              <w:t>$</w:t>
            </w:r>
            <w:r w:rsidRPr="008C287F">
              <w:tab/>
            </w:r>
            <w:r w:rsidR="00E53694">
              <w:t>(595,694)</w:t>
            </w:r>
          </w:p>
        </w:tc>
        <w:tc>
          <w:tcPr>
            <w:tcW w:w="359" w:type="dxa"/>
          </w:tcPr>
          <w:p w14:paraId="196D58CE" w14:textId="77777777" w:rsidR="006E7CF8" w:rsidRPr="008C287F" w:rsidRDefault="006E7CF8" w:rsidP="006B43A2">
            <w:pPr>
              <w:tabs>
                <w:tab w:val="right" w:pos="9180"/>
              </w:tabs>
              <w:ind w:right="-360"/>
            </w:pPr>
          </w:p>
        </w:tc>
        <w:tc>
          <w:tcPr>
            <w:tcW w:w="1782" w:type="dxa"/>
            <w:tcBorders>
              <w:bottom w:val="double" w:sz="4" w:space="0" w:color="auto"/>
            </w:tcBorders>
          </w:tcPr>
          <w:p w14:paraId="12F49328" w14:textId="7B62797C" w:rsidR="006E7CF8" w:rsidRPr="008C287F" w:rsidRDefault="006E7CF8" w:rsidP="006B43A2">
            <w:pPr>
              <w:tabs>
                <w:tab w:val="decimal" w:pos="1314"/>
                <w:tab w:val="right" w:pos="9180"/>
              </w:tabs>
              <w:ind w:right="-18"/>
            </w:pPr>
            <w:r w:rsidRPr="008C287F">
              <w:t>$</w:t>
            </w:r>
            <w:r w:rsidRPr="008C287F">
              <w:tab/>
              <w:t>(</w:t>
            </w:r>
            <w:r w:rsidR="004F479E">
              <w:t>701,454</w:t>
            </w:r>
            <w:r w:rsidRPr="008C287F">
              <w:t>)</w:t>
            </w:r>
          </w:p>
        </w:tc>
      </w:tr>
      <w:tr w:rsidR="006E7CF8" w:rsidRPr="008C287F" w14:paraId="5CBCEBB1" w14:textId="77777777" w:rsidTr="006B43A2">
        <w:trPr>
          <w:trHeight w:val="230"/>
        </w:trPr>
        <w:tc>
          <w:tcPr>
            <w:tcW w:w="375" w:type="dxa"/>
          </w:tcPr>
          <w:p w14:paraId="581704C9" w14:textId="77777777" w:rsidR="006E7CF8" w:rsidRPr="008C287F" w:rsidRDefault="006E7CF8" w:rsidP="006B43A2">
            <w:pPr>
              <w:ind w:right="-360"/>
            </w:pPr>
          </w:p>
        </w:tc>
        <w:tc>
          <w:tcPr>
            <w:tcW w:w="448" w:type="dxa"/>
          </w:tcPr>
          <w:p w14:paraId="061F6718" w14:textId="77777777" w:rsidR="006E7CF8" w:rsidRPr="008C287F" w:rsidRDefault="006E7CF8" w:rsidP="006B43A2">
            <w:pPr>
              <w:ind w:right="-360"/>
            </w:pPr>
          </w:p>
        </w:tc>
        <w:tc>
          <w:tcPr>
            <w:tcW w:w="448" w:type="dxa"/>
          </w:tcPr>
          <w:p w14:paraId="7DC2AF8C" w14:textId="77777777" w:rsidR="006E7CF8" w:rsidRPr="008C287F" w:rsidRDefault="006E7CF8" w:rsidP="006B43A2">
            <w:pPr>
              <w:ind w:right="-360"/>
            </w:pPr>
          </w:p>
        </w:tc>
        <w:tc>
          <w:tcPr>
            <w:tcW w:w="1960" w:type="dxa"/>
          </w:tcPr>
          <w:p w14:paraId="30D59807" w14:textId="77777777" w:rsidR="006E7CF8" w:rsidRPr="008C287F" w:rsidRDefault="006E7CF8" w:rsidP="006B43A2">
            <w:pPr>
              <w:tabs>
                <w:tab w:val="right" w:pos="9180"/>
              </w:tabs>
              <w:ind w:right="-360"/>
            </w:pPr>
          </w:p>
        </w:tc>
        <w:tc>
          <w:tcPr>
            <w:tcW w:w="537" w:type="dxa"/>
          </w:tcPr>
          <w:p w14:paraId="0D361C4A" w14:textId="77777777" w:rsidR="006E7CF8" w:rsidRPr="008C287F" w:rsidRDefault="006E7CF8" w:rsidP="006B43A2">
            <w:pPr>
              <w:tabs>
                <w:tab w:val="right" w:pos="9180"/>
              </w:tabs>
              <w:ind w:right="-18"/>
            </w:pPr>
          </w:p>
        </w:tc>
        <w:tc>
          <w:tcPr>
            <w:tcW w:w="537" w:type="dxa"/>
          </w:tcPr>
          <w:p w14:paraId="6FE7EAE4" w14:textId="77777777" w:rsidR="006E7CF8" w:rsidRPr="008C287F" w:rsidRDefault="006E7CF8" w:rsidP="006B43A2">
            <w:pPr>
              <w:tabs>
                <w:tab w:val="right" w:pos="9180"/>
              </w:tabs>
              <w:ind w:right="-360"/>
            </w:pPr>
          </w:p>
        </w:tc>
        <w:tc>
          <w:tcPr>
            <w:tcW w:w="1960" w:type="dxa"/>
          </w:tcPr>
          <w:p w14:paraId="2F2B2CE2" w14:textId="77777777" w:rsidR="006E7CF8" w:rsidRPr="008C287F" w:rsidRDefault="006E7CF8" w:rsidP="006B43A2">
            <w:pPr>
              <w:tabs>
                <w:tab w:val="right" w:pos="9180"/>
              </w:tabs>
              <w:ind w:right="-360"/>
            </w:pPr>
          </w:p>
        </w:tc>
        <w:tc>
          <w:tcPr>
            <w:tcW w:w="1782" w:type="dxa"/>
          </w:tcPr>
          <w:p w14:paraId="26659DEA" w14:textId="77777777" w:rsidR="006E7CF8" w:rsidRPr="008C287F" w:rsidRDefault="006E7CF8" w:rsidP="006B43A2">
            <w:pPr>
              <w:tabs>
                <w:tab w:val="right" w:pos="9180"/>
              </w:tabs>
              <w:ind w:right="-18"/>
            </w:pPr>
          </w:p>
        </w:tc>
        <w:tc>
          <w:tcPr>
            <w:tcW w:w="359" w:type="dxa"/>
          </w:tcPr>
          <w:p w14:paraId="2367DC3F" w14:textId="77777777" w:rsidR="006E7CF8" w:rsidRPr="008C287F" w:rsidRDefault="006E7CF8" w:rsidP="006B43A2">
            <w:pPr>
              <w:tabs>
                <w:tab w:val="right" w:pos="9180"/>
              </w:tabs>
              <w:ind w:right="-360"/>
            </w:pPr>
          </w:p>
        </w:tc>
        <w:tc>
          <w:tcPr>
            <w:tcW w:w="1782" w:type="dxa"/>
          </w:tcPr>
          <w:p w14:paraId="6279263D" w14:textId="77777777" w:rsidR="006E7CF8" w:rsidRPr="008C287F" w:rsidRDefault="006E7CF8" w:rsidP="006B43A2">
            <w:pPr>
              <w:tabs>
                <w:tab w:val="right" w:pos="9180"/>
              </w:tabs>
              <w:ind w:right="-18"/>
            </w:pPr>
          </w:p>
        </w:tc>
      </w:tr>
      <w:tr w:rsidR="006E7CF8" w:rsidRPr="008C287F" w14:paraId="41079C46" w14:textId="77777777" w:rsidTr="006B43A2">
        <w:trPr>
          <w:trHeight w:val="230"/>
        </w:trPr>
        <w:tc>
          <w:tcPr>
            <w:tcW w:w="3231" w:type="dxa"/>
            <w:gridSpan w:val="4"/>
          </w:tcPr>
          <w:p w14:paraId="56AAD6F7" w14:textId="77777777" w:rsidR="006E7CF8" w:rsidRPr="008C287F" w:rsidRDefault="006E7CF8" w:rsidP="006B43A2">
            <w:pPr>
              <w:tabs>
                <w:tab w:val="right" w:pos="9180"/>
              </w:tabs>
              <w:ind w:right="-360"/>
            </w:pPr>
            <w:r w:rsidRPr="008C287F">
              <w:t>Basic and diluted:</w:t>
            </w:r>
          </w:p>
        </w:tc>
        <w:tc>
          <w:tcPr>
            <w:tcW w:w="537" w:type="dxa"/>
          </w:tcPr>
          <w:p w14:paraId="7305B09F" w14:textId="77777777" w:rsidR="006E7CF8" w:rsidRPr="008C287F" w:rsidRDefault="006E7CF8" w:rsidP="006B43A2">
            <w:pPr>
              <w:tabs>
                <w:tab w:val="right" w:pos="9180"/>
              </w:tabs>
              <w:ind w:right="-18"/>
            </w:pPr>
          </w:p>
        </w:tc>
        <w:tc>
          <w:tcPr>
            <w:tcW w:w="537" w:type="dxa"/>
          </w:tcPr>
          <w:p w14:paraId="3C55BD5F" w14:textId="77777777" w:rsidR="006E7CF8" w:rsidRPr="008C287F" w:rsidRDefault="006E7CF8" w:rsidP="006B43A2">
            <w:pPr>
              <w:tabs>
                <w:tab w:val="right" w:pos="9180"/>
              </w:tabs>
              <w:ind w:right="-360"/>
            </w:pPr>
          </w:p>
        </w:tc>
        <w:tc>
          <w:tcPr>
            <w:tcW w:w="1960" w:type="dxa"/>
          </w:tcPr>
          <w:p w14:paraId="404EB7DC" w14:textId="77777777" w:rsidR="006E7CF8" w:rsidRPr="008C287F" w:rsidRDefault="006E7CF8" w:rsidP="006B43A2">
            <w:pPr>
              <w:tabs>
                <w:tab w:val="right" w:pos="9180"/>
              </w:tabs>
              <w:ind w:right="-360"/>
            </w:pPr>
          </w:p>
        </w:tc>
        <w:tc>
          <w:tcPr>
            <w:tcW w:w="1782" w:type="dxa"/>
          </w:tcPr>
          <w:p w14:paraId="26F03E4D" w14:textId="77777777" w:rsidR="006E7CF8" w:rsidRPr="008C287F" w:rsidRDefault="006E7CF8" w:rsidP="006B43A2">
            <w:pPr>
              <w:tabs>
                <w:tab w:val="right" w:pos="9180"/>
              </w:tabs>
              <w:ind w:right="-18"/>
            </w:pPr>
          </w:p>
        </w:tc>
        <w:tc>
          <w:tcPr>
            <w:tcW w:w="359" w:type="dxa"/>
          </w:tcPr>
          <w:p w14:paraId="6992DF78" w14:textId="77777777" w:rsidR="006E7CF8" w:rsidRPr="008C287F" w:rsidRDefault="006E7CF8" w:rsidP="006B43A2">
            <w:pPr>
              <w:tabs>
                <w:tab w:val="right" w:pos="9180"/>
              </w:tabs>
              <w:ind w:right="-360"/>
            </w:pPr>
          </w:p>
        </w:tc>
        <w:tc>
          <w:tcPr>
            <w:tcW w:w="1782" w:type="dxa"/>
          </w:tcPr>
          <w:p w14:paraId="4293F415" w14:textId="77777777" w:rsidR="006E7CF8" w:rsidRPr="008C287F" w:rsidRDefault="006E7CF8" w:rsidP="006B43A2">
            <w:pPr>
              <w:tabs>
                <w:tab w:val="right" w:pos="9180"/>
              </w:tabs>
              <w:ind w:right="-18"/>
            </w:pPr>
          </w:p>
        </w:tc>
      </w:tr>
      <w:tr w:rsidR="00130959" w:rsidRPr="00A43281" w14:paraId="5DA3B8A1" w14:textId="77777777" w:rsidTr="00BB71A7">
        <w:trPr>
          <w:trHeight w:val="230"/>
        </w:trPr>
        <w:tc>
          <w:tcPr>
            <w:tcW w:w="375" w:type="dxa"/>
          </w:tcPr>
          <w:p w14:paraId="5C0310AE" w14:textId="77777777" w:rsidR="00130959" w:rsidRPr="008C287F" w:rsidRDefault="00130959" w:rsidP="006B43A2">
            <w:pPr>
              <w:ind w:right="-360"/>
            </w:pPr>
          </w:p>
        </w:tc>
        <w:tc>
          <w:tcPr>
            <w:tcW w:w="5890" w:type="dxa"/>
            <w:gridSpan w:val="6"/>
          </w:tcPr>
          <w:p w14:paraId="1AB15415" w14:textId="4231F15D" w:rsidR="00130959" w:rsidRPr="00A43281" w:rsidRDefault="00130959" w:rsidP="006B43A2">
            <w:pPr>
              <w:tabs>
                <w:tab w:val="right" w:pos="9180"/>
              </w:tabs>
              <w:ind w:right="-360"/>
            </w:pPr>
            <w:r w:rsidRPr="00A43281">
              <w:t>Net loss per common share</w:t>
            </w:r>
          </w:p>
        </w:tc>
        <w:tc>
          <w:tcPr>
            <w:tcW w:w="1782" w:type="dxa"/>
            <w:tcBorders>
              <w:bottom w:val="double" w:sz="4" w:space="0" w:color="auto"/>
            </w:tcBorders>
          </w:tcPr>
          <w:p w14:paraId="1FF37024" w14:textId="1C888603" w:rsidR="00130959" w:rsidRPr="00A43281" w:rsidRDefault="00130959" w:rsidP="006B43A2">
            <w:pPr>
              <w:tabs>
                <w:tab w:val="decimal" w:pos="1025"/>
                <w:tab w:val="right" w:pos="9180"/>
              </w:tabs>
              <w:ind w:right="-18"/>
            </w:pPr>
            <w:r w:rsidRPr="00A43281">
              <w:t>$</w:t>
            </w:r>
            <w:r w:rsidRPr="00A43281">
              <w:tab/>
            </w:r>
            <w:r w:rsidR="00E53694" w:rsidRPr="00A43281">
              <w:t>(0.13)</w:t>
            </w:r>
          </w:p>
        </w:tc>
        <w:tc>
          <w:tcPr>
            <w:tcW w:w="359" w:type="dxa"/>
          </w:tcPr>
          <w:p w14:paraId="5921C5A1" w14:textId="77777777" w:rsidR="00130959" w:rsidRPr="00A43281" w:rsidRDefault="00130959" w:rsidP="006B43A2">
            <w:pPr>
              <w:tabs>
                <w:tab w:val="right" w:pos="9180"/>
              </w:tabs>
              <w:ind w:right="-360"/>
            </w:pPr>
          </w:p>
        </w:tc>
        <w:tc>
          <w:tcPr>
            <w:tcW w:w="1782" w:type="dxa"/>
            <w:tcBorders>
              <w:bottom w:val="double" w:sz="4" w:space="0" w:color="auto"/>
            </w:tcBorders>
          </w:tcPr>
          <w:p w14:paraId="7FA7A64C" w14:textId="5740092C" w:rsidR="00130959" w:rsidRPr="00A43281" w:rsidRDefault="00130959" w:rsidP="006B43A2">
            <w:pPr>
              <w:tabs>
                <w:tab w:val="decimal" w:pos="1044"/>
                <w:tab w:val="right" w:pos="9180"/>
              </w:tabs>
              <w:ind w:right="-18"/>
            </w:pPr>
            <w:r w:rsidRPr="00A43281">
              <w:t>$</w:t>
            </w:r>
            <w:r w:rsidRPr="00A43281">
              <w:tab/>
              <w:t>(</w:t>
            </w:r>
            <w:r w:rsidR="00A43281" w:rsidRPr="00A43281">
              <w:t>2,851.44</w:t>
            </w:r>
            <w:r w:rsidRPr="00A43281">
              <w:t>)</w:t>
            </w:r>
          </w:p>
        </w:tc>
      </w:tr>
      <w:tr w:rsidR="006E7CF8" w:rsidRPr="00212F30" w14:paraId="2F8D1164" w14:textId="77777777" w:rsidTr="006B43A2">
        <w:trPr>
          <w:trHeight w:val="230"/>
        </w:trPr>
        <w:tc>
          <w:tcPr>
            <w:tcW w:w="375" w:type="dxa"/>
          </w:tcPr>
          <w:p w14:paraId="6CEEDE9D" w14:textId="77777777" w:rsidR="006E7CF8" w:rsidRPr="00A43281" w:rsidRDefault="006E7CF8" w:rsidP="006B43A2">
            <w:pPr>
              <w:ind w:right="-360"/>
            </w:pPr>
          </w:p>
        </w:tc>
        <w:tc>
          <w:tcPr>
            <w:tcW w:w="3393" w:type="dxa"/>
            <w:gridSpan w:val="4"/>
          </w:tcPr>
          <w:p w14:paraId="22DF1CFB" w14:textId="77777777" w:rsidR="006E7CF8" w:rsidRPr="00A43281" w:rsidRDefault="006E7CF8" w:rsidP="006B43A2">
            <w:pPr>
              <w:tabs>
                <w:tab w:val="right" w:pos="9180"/>
              </w:tabs>
              <w:ind w:right="-18"/>
            </w:pPr>
            <w:r w:rsidRPr="00A43281">
              <w:t>Weighted average shares outstanding</w:t>
            </w:r>
          </w:p>
        </w:tc>
        <w:tc>
          <w:tcPr>
            <w:tcW w:w="537" w:type="dxa"/>
          </w:tcPr>
          <w:p w14:paraId="64678B0B" w14:textId="77777777" w:rsidR="006E7CF8" w:rsidRPr="00A43281" w:rsidRDefault="006E7CF8" w:rsidP="006B43A2">
            <w:pPr>
              <w:tabs>
                <w:tab w:val="right" w:pos="9180"/>
              </w:tabs>
              <w:ind w:right="-360"/>
            </w:pPr>
          </w:p>
        </w:tc>
        <w:tc>
          <w:tcPr>
            <w:tcW w:w="1960" w:type="dxa"/>
          </w:tcPr>
          <w:p w14:paraId="734E183C" w14:textId="77777777" w:rsidR="006E7CF8" w:rsidRPr="00A43281" w:rsidRDefault="006E7CF8" w:rsidP="006B43A2">
            <w:pPr>
              <w:tabs>
                <w:tab w:val="right" w:pos="9180"/>
              </w:tabs>
              <w:ind w:right="-360"/>
            </w:pPr>
          </w:p>
        </w:tc>
        <w:tc>
          <w:tcPr>
            <w:tcW w:w="1782" w:type="dxa"/>
            <w:tcBorders>
              <w:top w:val="double" w:sz="4" w:space="0" w:color="auto"/>
              <w:bottom w:val="double" w:sz="4" w:space="0" w:color="auto"/>
            </w:tcBorders>
          </w:tcPr>
          <w:p w14:paraId="16049D93" w14:textId="380C44BB" w:rsidR="006E7CF8" w:rsidRPr="00A43281" w:rsidRDefault="006E7CF8" w:rsidP="006B43A2">
            <w:pPr>
              <w:tabs>
                <w:tab w:val="decimal" w:pos="1295"/>
                <w:tab w:val="right" w:pos="9180"/>
              </w:tabs>
              <w:ind w:right="-18"/>
            </w:pPr>
            <w:r w:rsidRPr="00A43281">
              <w:tab/>
            </w:r>
            <w:r w:rsidR="00E53694" w:rsidRPr="00A43281">
              <w:t>4,687,893</w:t>
            </w:r>
          </w:p>
        </w:tc>
        <w:tc>
          <w:tcPr>
            <w:tcW w:w="359" w:type="dxa"/>
          </w:tcPr>
          <w:p w14:paraId="4A1DD9E8" w14:textId="77777777" w:rsidR="006E7CF8" w:rsidRPr="00A43281" w:rsidRDefault="006E7CF8" w:rsidP="006B43A2">
            <w:pPr>
              <w:tabs>
                <w:tab w:val="right" w:pos="9180"/>
              </w:tabs>
              <w:ind w:right="-360"/>
            </w:pPr>
          </w:p>
        </w:tc>
        <w:tc>
          <w:tcPr>
            <w:tcW w:w="1782" w:type="dxa"/>
            <w:tcBorders>
              <w:top w:val="double" w:sz="4" w:space="0" w:color="auto"/>
              <w:bottom w:val="double" w:sz="4" w:space="0" w:color="auto"/>
            </w:tcBorders>
          </w:tcPr>
          <w:p w14:paraId="763D7A63" w14:textId="3182BC86" w:rsidR="00A43281" w:rsidRPr="00A43281" w:rsidRDefault="006E7CF8" w:rsidP="006B43A2">
            <w:pPr>
              <w:tabs>
                <w:tab w:val="decimal" w:pos="1314"/>
                <w:tab w:val="right" w:pos="9180"/>
              </w:tabs>
              <w:ind w:right="-18"/>
            </w:pPr>
            <w:r w:rsidRPr="00A43281">
              <w:tab/>
            </w:r>
            <w:r w:rsidR="00A43281" w:rsidRPr="00A43281">
              <w:t>246</w:t>
            </w:r>
          </w:p>
        </w:tc>
      </w:tr>
      <w:tr w:rsidR="006E7CF8" w:rsidRPr="00212F30" w14:paraId="786719D9" w14:textId="77777777" w:rsidTr="006B43A2">
        <w:trPr>
          <w:trHeight w:val="230"/>
        </w:trPr>
        <w:tc>
          <w:tcPr>
            <w:tcW w:w="3231" w:type="dxa"/>
            <w:gridSpan w:val="4"/>
          </w:tcPr>
          <w:p w14:paraId="51E0F2AF" w14:textId="77777777" w:rsidR="006E7CF8" w:rsidRPr="00212F30" w:rsidRDefault="006E7CF8" w:rsidP="006B43A2">
            <w:pPr>
              <w:tabs>
                <w:tab w:val="right" w:pos="9180"/>
              </w:tabs>
              <w:ind w:right="-360"/>
            </w:pPr>
          </w:p>
        </w:tc>
        <w:tc>
          <w:tcPr>
            <w:tcW w:w="537" w:type="dxa"/>
          </w:tcPr>
          <w:p w14:paraId="3DCAF6BF" w14:textId="77777777" w:rsidR="006E7CF8" w:rsidRPr="00212F30" w:rsidRDefault="006E7CF8" w:rsidP="006B43A2">
            <w:pPr>
              <w:tabs>
                <w:tab w:val="decimal" w:pos="882"/>
                <w:tab w:val="right" w:pos="9180"/>
              </w:tabs>
              <w:ind w:right="-18"/>
            </w:pPr>
          </w:p>
        </w:tc>
        <w:tc>
          <w:tcPr>
            <w:tcW w:w="537" w:type="dxa"/>
          </w:tcPr>
          <w:p w14:paraId="2E68C8B1" w14:textId="77777777" w:rsidR="006E7CF8" w:rsidRPr="00212F30" w:rsidRDefault="006E7CF8" w:rsidP="006B43A2">
            <w:pPr>
              <w:tabs>
                <w:tab w:val="right" w:pos="9180"/>
              </w:tabs>
              <w:ind w:right="-360"/>
            </w:pPr>
          </w:p>
        </w:tc>
        <w:tc>
          <w:tcPr>
            <w:tcW w:w="1960" w:type="dxa"/>
          </w:tcPr>
          <w:p w14:paraId="04E7F6D6" w14:textId="77777777" w:rsidR="006E7CF8" w:rsidRPr="00212F30" w:rsidRDefault="006E7CF8" w:rsidP="006B43A2">
            <w:pPr>
              <w:tabs>
                <w:tab w:val="right" w:pos="9180"/>
              </w:tabs>
              <w:ind w:right="-360"/>
            </w:pPr>
          </w:p>
        </w:tc>
        <w:tc>
          <w:tcPr>
            <w:tcW w:w="1782" w:type="dxa"/>
          </w:tcPr>
          <w:p w14:paraId="51F51CA0" w14:textId="77777777" w:rsidR="006E7CF8" w:rsidRPr="00212F30" w:rsidRDefault="006E7CF8" w:rsidP="006B43A2">
            <w:pPr>
              <w:tabs>
                <w:tab w:val="decimal" w:pos="792"/>
                <w:tab w:val="right" w:pos="9180"/>
              </w:tabs>
              <w:ind w:right="-18"/>
            </w:pPr>
          </w:p>
        </w:tc>
        <w:tc>
          <w:tcPr>
            <w:tcW w:w="359" w:type="dxa"/>
          </w:tcPr>
          <w:p w14:paraId="4357F865" w14:textId="77777777" w:rsidR="006E7CF8" w:rsidRPr="00212F30" w:rsidRDefault="006E7CF8" w:rsidP="006B43A2">
            <w:pPr>
              <w:tabs>
                <w:tab w:val="right" w:pos="9180"/>
              </w:tabs>
              <w:ind w:right="-360"/>
            </w:pPr>
          </w:p>
        </w:tc>
        <w:tc>
          <w:tcPr>
            <w:tcW w:w="1782" w:type="dxa"/>
          </w:tcPr>
          <w:p w14:paraId="20E12577" w14:textId="77777777" w:rsidR="006E7CF8" w:rsidRPr="00212F30" w:rsidRDefault="006E7CF8" w:rsidP="006B43A2">
            <w:pPr>
              <w:tabs>
                <w:tab w:val="decimal" w:pos="702"/>
                <w:tab w:val="right" w:pos="9180"/>
              </w:tabs>
              <w:ind w:right="-18"/>
            </w:pPr>
          </w:p>
        </w:tc>
      </w:tr>
      <w:tr w:rsidR="006E7CF8" w:rsidRPr="00212F30" w14:paraId="04C2F8A6" w14:textId="77777777" w:rsidTr="006B43A2">
        <w:trPr>
          <w:trHeight w:val="230"/>
        </w:trPr>
        <w:tc>
          <w:tcPr>
            <w:tcW w:w="3231" w:type="dxa"/>
            <w:gridSpan w:val="4"/>
          </w:tcPr>
          <w:p w14:paraId="26578EF2" w14:textId="77777777" w:rsidR="006E7CF8" w:rsidRPr="00212F30" w:rsidRDefault="006E7CF8" w:rsidP="006B43A2">
            <w:pPr>
              <w:tabs>
                <w:tab w:val="right" w:pos="9180"/>
              </w:tabs>
              <w:ind w:right="-360"/>
            </w:pPr>
          </w:p>
        </w:tc>
        <w:tc>
          <w:tcPr>
            <w:tcW w:w="537" w:type="dxa"/>
          </w:tcPr>
          <w:p w14:paraId="0813B029" w14:textId="77777777" w:rsidR="006E7CF8" w:rsidRPr="00212F30" w:rsidRDefault="006E7CF8" w:rsidP="006B43A2">
            <w:pPr>
              <w:tabs>
                <w:tab w:val="decimal" w:pos="882"/>
                <w:tab w:val="right" w:pos="9180"/>
              </w:tabs>
              <w:ind w:right="-18"/>
            </w:pPr>
          </w:p>
        </w:tc>
        <w:tc>
          <w:tcPr>
            <w:tcW w:w="537" w:type="dxa"/>
          </w:tcPr>
          <w:p w14:paraId="7659CAFD" w14:textId="77777777" w:rsidR="006E7CF8" w:rsidRPr="00212F30" w:rsidRDefault="006E7CF8" w:rsidP="006B43A2">
            <w:pPr>
              <w:tabs>
                <w:tab w:val="right" w:pos="9180"/>
              </w:tabs>
              <w:ind w:right="-360"/>
            </w:pPr>
          </w:p>
        </w:tc>
        <w:tc>
          <w:tcPr>
            <w:tcW w:w="1960" w:type="dxa"/>
          </w:tcPr>
          <w:p w14:paraId="6DCD51A8" w14:textId="77777777" w:rsidR="006E7CF8" w:rsidRPr="00212F30" w:rsidRDefault="006E7CF8" w:rsidP="006B43A2">
            <w:pPr>
              <w:tabs>
                <w:tab w:val="right" w:pos="9180"/>
              </w:tabs>
              <w:ind w:right="-360"/>
            </w:pPr>
          </w:p>
        </w:tc>
        <w:tc>
          <w:tcPr>
            <w:tcW w:w="1782" w:type="dxa"/>
          </w:tcPr>
          <w:p w14:paraId="78C27CB5" w14:textId="77777777" w:rsidR="006E7CF8" w:rsidRPr="00212F30" w:rsidRDefault="006E7CF8" w:rsidP="006B43A2">
            <w:pPr>
              <w:tabs>
                <w:tab w:val="decimal" w:pos="792"/>
                <w:tab w:val="right" w:pos="9180"/>
              </w:tabs>
              <w:ind w:right="-18"/>
            </w:pPr>
          </w:p>
        </w:tc>
        <w:tc>
          <w:tcPr>
            <w:tcW w:w="359" w:type="dxa"/>
          </w:tcPr>
          <w:p w14:paraId="5837347F" w14:textId="77777777" w:rsidR="006E7CF8" w:rsidRPr="00212F30" w:rsidRDefault="006E7CF8" w:rsidP="006B43A2">
            <w:pPr>
              <w:tabs>
                <w:tab w:val="right" w:pos="9180"/>
              </w:tabs>
              <w:ind w:right="-360"/>
            </w:pPr>
          </w:p>
        </w:tc>
        <w:tc>
          <w:tcPr>
            <w:tcW w:w="1782" w:type="dxa"/>
          </w:tcPr>
          <w:p w14:paraId="58E5D902" w14:textId="77777777" w:rsidR="006E7CF8" w:rsidRPr="00212F30" w:rsidRDefault="006E7CF8" w:rsidP="006B43A2">
            <w:pPr>
              <w:tabs>
                <w:tab w:val="decimal" w:pos="702"/>
                <w:tab w:val="right" w:pos="9180"/>
              </w:tabs>
              <w:ind w:right="-18"/>
            </w:pPr>
          </w:p>
        </w:tc>
      </w:tr>
      <w:tr w:rsidR="006E7CF8" w:rsidRPr="00212F30" w14:paraId="3F2F5080" w14:textId="77777777" w:rsidTr="006B43A2">
        <w:trPr>
          <w:trHeight w:val="230"/>
        </w:trPr>
        <w:tc>
          <w:tcPr>
            <w:tcW w:w="3231" w:type="dxa"/>
            <w:gridSpan w:val="4"/>
          </w:tcPr>
          <w:p w14:paraId="46C9A064" w14:textId="77777777" w:rsidR="006E7CF8" w:rsidRPr="00212F30" w:rsidRDefault="006E7CF8" w:rsidP="006B43A2">
            <w:pPr>
              <w:tabs>
                <w:tab w:val="right" w:pos="9180"/>
              </w:tabs>
              <w:ind w:right="-360"/>
            </w:pPr>
          </w:p>
        </w:tc>
        <w:tc>
          <w:tcPr>
            <w:tcW w:w="537" w:type="dxa"/>
          </w:tcPr>
          <w:p w14:paraId="401AFCFC" w14:textId="77777777" w:rsidR="006E7CF8" w:rsidRPr="00212F30" w:rsidRDefault="006E7CF8" w:rsidP="006B43A2">
            <w:pPr>
              <w:tabs>
                <w:tab w:val="decimal" w:pos="882"/>
                <w:tab w:val="right" w:pos="9180"/>
              </w:tabs>
              <w:ind w:right="-18"/>
            </w:pPr>
          </w:p>
        </w:tc>
        <w:tc>
          <w:tcPr>
            <w:tcW w:w="537" w:type="dxa"/>
          </w:tcPr>
          <w:p w14:paraId="66683586" w14:textId="77777777" w:rsidR="006E7CF8" w:rsidRPr="00212F30" w:rsidRDefault="006E7CF8" w:rsidP="006B43A2">
            <w:pPr>
              <w:tabs>
                <w:tab w:val="right" w:pos="9180"/>
              </w:tabs>
              <w:ind w:right="-360"/>
            </w:pPr>
          </w:p>
        </w:tc>
        <w:tc>
          <w:tcPr>
            <w:tcW w:w="1960" w:type="dxa"/>
          </w:tcPr>
          <w:p w14:paraId="46DA37B0" w14:textId="77777777" w:rsidR="006E7CF8" w:rsidRPr="00212F30" w:rsidRDefault="006E7CF8" w:rsidP="006B43A2">
            <w:pPr>
              <w:tabs>
                <w:tab w:val="right" w:pos="9180"/>
              </w:tabs>
              <w:ind w:right="-360"/>
            </w:pPr>
          </w:p>
        </w:tc>
        <w:tc>
          <w:tcPr>
            <w:tcW w:w="1782" w:type="dxa"/>
          </w:tcPr>
          <w:p w14:paraId="3C9724E4" w14:textId="77777777" w:rsidR="006E7CF8" w:rsidRPr="00212F30" w:rsidRDefault="006E7CF8" w:rsidP="006B43A2">
            <w:pPr>
              <w:tabs>
                <w:tab w:val="decimal" w:pos="792"/>
                <w:tab w:val="right" w:pos="9180"/>
              </w:tabs>
              <w:ind w:right="-18"/>
            </w:pPr>
          </w:p>
        </w:tc>
        <w:tc>
          <w:tcPr>
            <w:tcW w:w="359" w:type="dxa"/>
          </w:tcPr>
          <w:p w14:paraId="0D6F2363" w14:textId="77777777" w:rsidR="006E7CF8" w:rsidRPr="00212F30" w:rsidRDefault="006E7CF8" w:rsidP="006B43A2">
            <w:pPr>
              <w:tabs>
                <w:tab w:val="right" w:pos="9180"/>
              </w:tabs>
              <w:ind w:right="-360"/>
            </w:pPr>
          </w:p>
        </w:tc>
        <w:tc>
          <w:tcPr>
            <w:tcW w:w="1782" w:type="dxa"/>
          </w:tcPr>
          <w:p w14:paraId="7BAD374C" w14:textId="77777777" w:rsidR="006E7CF8" w:rsidRPr="00212F30" w:rsidRDefault="006E7CF8" w:rsidP="006B43A2">
            <w:pPr>
              <w:tabs>
                <w:tab w:val="decimal" w:pos="702"/>
                <w:tab w:val="right" w:pos="9180"/>
              </w:tabs>
              <w:ind w:right="-18"/>
            </w:pPr>
          </w:p>
        </w:tc>
      </w:tr>
    </w:tbl>
    <w:p w14:paraId="043E7F80" w14:textId="3D1384C7" w:rsidR="006E7CF8" w:rsidRDefault="006E7CF8" w:rsidP="00643C84">
      <w:pPr>
        <w:tabs>
          <w:tab w:val="left" w:pos="1080"/>
          <w:tab w:val="left" w:pos="1260"/>
          <w:tab w:val="left" w:pos="2340"/>
          <w:tab w:val="right" w:pos="9180"/>
        </w:tabs>
        <w:ind w:right="-360"/>
      </w:pPr>
    </w:p>
    <w:p w14:paraId="30D9981E" w14:textId="4598894B" w:rsidR="006E7CF8" w:rsidRDefault="006E7CF8" w:rsidP="00643C84">
      <w:pPr>
        <w:tabs>
          <w:tab w:val="left" w:pos="1080"/>
          <w:tab w:val="left" w:pos="1260"/>
          <w:tab w:val="left" w:pos="2340"/>
          <w:tab w:val="right" w:pos="9180"/>
        </w:tabs>
        <w:ind w:right="-360"/>
      </w:pPr>
    </w:p>
    <w:p w14:paraId="07D7E0CF" w14:textId="7802D935" w:rsidR="006E7CF8" w:rsidRDefault="006E7CF8"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lastRenderedPageBreak/>
        <w:t>GEOVAX LABS, INC.</w:t>
      </w:r>
    </w:p>
    <w:p w14:paraId="5AB7F194" w14:textId="77777777" w:rsidR="00487CAB" w:rsidRPr="00487CAB" w:rsidRDefault="00487CAB" w:rsidP="00487CAB">
      <w:pPr>
        <w:jc w:val="center"/>
        <w:rPr>
          <w:b/>
        </w:rPr>
      </w:pPr>
      <w:r w:rsidRPr="00487CAB">
        <w:rPr>
          <w:b/>
        </w:rPr>
        <w:t>CONDENSED CONSOLIDATED STATEMENTS OF CHANGES IN STOCKHOLDERS’ EQUITY (DEFICIENCY)</w:t>
      </w:r>
    </w:p>
    <w:p w14:paraId="5DBBABFB" w14:textId="77777777" w:rsidR="00487CAB" w:rsidRPr="00487CAB" w:rsidRDefault="00487CAB" w:rsidP="00487CAB">
      <w:pPr>
        <w:jc w:val="center"/>
        <w:rPr>
          <w:b/>
        </w:rPr>
      </w:pPr>
      <w:r w:rsidRPr="00487CAB">
        <w:rPr>
          <w:b/>
        </w:rPr>
        <w:t>(Unaudited)</w:t>
      </w:r>
    </w:p>
    <w:p w14:paraId="525E1FD5" w14:textId="6AEDE750" w:rsidR="00487CAB" w:rsidRDefault="00487CAB" w:rsidP="00487CAB">
      <w:pPr>
        <w:tabs>
          <w:tab w:val="decimal" w:pos="1152"/>
          <w:tab w:val="left" w:pos="2340"/>
          <w:tab w:val="right" w:pos="9180"/>
        </w:tabs>
        <w:rPr>
          <w:snapToGrid w:val="0"/>
          <w:color w:val="000000"/>
        </w:rPr>
      </w:pPr>
    </w:p>
    <w:p w14:paraId="3FEB6D7C" w14:textId="77777777" w:rsidR="004F479E" w:rsidRDefault="004F479E" w:rsidP="004F479E">
      <w:pPr>
        <w:tabs>
          <w:tab w:val="decimal" w:pos="1152"/>
          <w:tab w:val="left" w:pos="2340"/>
          <w:tab w:val="right" w:pos="9180"/>
        </w:tabs>
        <w:rPr>
          <w:snapToGrid w:val="0"/>
          <w:color w:val="000000"/>
          <w:sz w:val="19"/>
          <w:szCs w:val="19"/>
        </w:rPr>
      </w:pPr>
      <w:bookmarkStart w:id="7" w:name="_Hlk36562604"/>
    </w:p>
    <w:bookmarkEnd w:id="7"/>
    <w:p w14:paraId="14A426FD" w14:textId="787861CB" w:rsidR="008D0F89" w:rsidRDefault="008D0F89" w:rsidP="004F479E">
      <w:pPr>
        <w:tabs>
          <w:tab w:val="decimal" w:pos="1152"/>
          <w:tab w:val="left" w:pos="2340"/>
          <w:tab w:val="right" w:pos="9180"/>
        </w:tabs>
        <w:rPr>
          <w:snapToGrid w:val="0"/>
          <w:color w:val="000000"/>
          <w:sz w:val="19"/>
          <w:szCs w:val="19"/>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8D0F89" w:rsidRPr="00487CAB" w14:paraId="5DDEFFC3" w14:textId="77777777" w:rsidTr="00D338E8">
        <w:tc>
          <w:tcPr>
            <w:tcW w:w="4410" w:type="dxa"/>
          </w:tcPr>
          <w:p w14:paraId="4D4A95E3" w14:textId="77777777" w:rsidR="008D0F89" w:rsidRPr="00487CAB" w:rsidRDefault="008D0F89" w:rsidP="00D338E8">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416514E2" w14:textId="77777777" w:rsidR="008D0F89" w:rsidRPr="00487CAB" w:rsidRDefault="008D0F89" w:rsidP="00D338E8">
            <w:pPr>
              <w:tabs>
                <w:tab w:val="right" w:pos="9180"/>
              </w:tabs>
              <w:jc w:val="center"/>
              <w:rPr>
                <w:snapToGrid w:val="0"/>
                <w:color w:val="000000"/>
                <w:sz w:val="19"/>
                <w:szCs w:val="19"/>
              </w:rPr>
            </w:pPr>
            <w:r>
              <w:rPr>
                <w:snapToGrid w:val="0"/>
                <w:color w:val="000000"/>
                <w:sz w:val="19"/>
                <w:szCs w:val="19"/>
              </w:rPr>
              <w:t>Three-Months Ended March 31, 2020</w:t>
            </w:r>
          </w:p>
        </w:tc>
      </w:tr>
      <w:tr w:rsidR="008D0F89" w:rsidRPr="00487CAB" w14:paraId="75B3C14A" w14:textId="77777777" w:rsidTr="008D0F89">
        <w:tc>
          <w:tcPr>
            <w:tcW w:w="4410" w:type="dxa"/>
          </w:tcPr>
          <w:p w14:paraId="08A86678" w14:textId="77777777" w:rsidR="008D0F89" w:rsidRPr="00487CAB" w:rsidRDefault="008D0F89" w:rsidP="00D338E8">
            <w:pPr>
              <w:tabs>
                <w:tab w:val="left" w:pos="144"/>
                <w:tab w:val="left" w:pos="324"/>
                <w:tab w:val="right" w:pos="9180"/>
              </w:tabs>
              <w:rPr>
                <w:snapToGrid w:val="0"/>
                <w:color w:val="000000"/>
                <w:sz w:val="19"/>
                <w:szCs w:val="19"/>
              </w:rPr>
            </w:pPr>
          </w:p>
        </w:tc>
        <w:tc>
          <w:tcPr>
            <w:tcW w:w="2340" w:type="dxa"/>
            <w:gridSpan w:val="2"/>
          </w:tcPr>
          <w:p w14:paraId="3F6FCDB4" w14:textId="77777777" w:rsidR="008D0F89" w:rsidRPr="00487CAB" w:rsidRDefault="008D0F89" w:rsidP="00D338E8">
            <w:pPr>
              <w:tabs>
                <w:tab w:val="left" w:pos="2340"/>
                <w:tab w:val="right" w:pos="9180"/>
              </w:tabs>
              <w:jc w:val="center"/>
              <w:rPr>
                <w:snapToGrid w:val="0"/>
                <w:color w:val="000000"/>
                <w:sz w:val="19"/>
                <w:szCs w:val="19"/>
              </w:rPr>
            </w:pPr>
          </w:p>
        </w:tc>
        <w:tc>
          <w:tcPr>
            <w:tcW w:w="1080" w:type="dxa"/>
          </w:tcPr>
          <w:p w14:paraId="3F335080" w14:textId="77777777" w:rsidR="008D0F89" w:rsidRPr="00487CAB" w:rsidRDefault="008D0F89" w:rsidP="00D338E8">
            <w:pPr>
              <w:tabs>
                <w:tab w:val="decimal" w:pos="1148"/>
                <w:tab w:val="right" w:pos="9180"/>
              </w:tabs>
              <w:jc w:val="center"/>
              <w:rPr>
                <w:snapToGrid w:val="0"/>
                <w:color w:val="000000"/>
                <w:sz w:val="19"/>
                <w:szCs w:val="19"/>
              </w:rPr>
            </w:pPr>
          </w:p>
        </w:tc>
        <w:tc>
          <w:tcPr>
            <w:tcW w:w="1170" w:type="dxa"/>
          </w:tcPr>
          <w:p w14:paraId="2EA41DBC" w14:textId="77777777" w:rsidR="008D0F89" w:rsidRPr="00487CAB" w:rsidRDefault="008D0F89" w:rsidP="00D338E8">
            <w:pPr>
              <w:tabs>
                <w:tab w:val="decimal" w:pos="1148"/>
                <w:tab w:val="right" w:pos="9180"/>
              </w:tabs>
              <w:jc w:val="center"/>
              <w:rPr>
                <w:snapToGrid w:val="0"/>
                <w:color w:val="000000"/>
                <w:sz w:val="19"/>
                <w:szCs w:val="19"/>
              </w:rPr>
            </w:pPr>
          </w:p>
        </w:tc>
        <w:tc>
          <w:tcPr>
            <w:tcW w:w="1440" w:type="dxa"/>
          </w:tcPr>
          <w:p w14:paraId="691589F7" w14:textId="77777777" w:rsidR="008D0F89" w:rsidRPr="00487CAB" w:rsidRDefault="008D0F89" w:rsidP="00D338E8">
            <w:pPr>
              <w:tabs>
                <w:tab w:val="decimal" w:pos="1148"/>
                <w:tab w:val="right" w:pos="9180"/>
              </w:tabs>
              <w:jc w:val="center"/>
              <w:rPr>
                <w:snapToGrid w:val="0"/>
                <w:color w:val="000000"/>
                <w:sz w:val="19"/>
                <w:szCs w:val="19"/>
              </w:rPr>
            </w:pPr>
          </w:p>
        </w:tc>
        <w:tc>
          <w:tcPr>
            <w:tcW w:w="1350" w:type="dxa"/>
          </w:tcPr>
          <w:p w14:paraId="7A5AAC4F" w14:textId="77777777" w:rsidR="008D0F89" w:rsidRPr="00487CAB" w:rsidRDefault="008D0F89" w:rsidP="00D338E8">
            <w:pPr>
              <w:tabs>
                <w:tab w:val="right" w:pos="9180"/>
              </w:tabs>
              <w:jc w:val="center"/>
              <w:rPr>
                <w:snapToGrid w:val="0"/>
                <w:color w:val="000000"/>
                <w:sz w:val="19"/>
                <w:szCs w:val="19"/>
              </w:rPr>
            </w:pPr>
          </w:p>
        </w:tc>
        <w:tc>
          <w:tcPr>
            <w:tcW w:w="1800" w:type="dxa"/>
          </w:tcPr>
          <w:p w14:paraId="03913BE7" w14:textId="2B1901CB" w:rsidR="008D0F89" w:rsidRPr="00487CAB" w:rsidRDefault="008D0F89" w:rsidP="00D338E8">
            <w:pPr>
              <w:tabs>
                <w:tab w:val="right" w:pos="9180"/>
              </w:tabs>
              <w:jc w:val="center"/>
              <w:rPr>
                <w:snapToGrid w:val="0"/>
                <w:color w:val="000000"/>
                <w:sz w:val="19"/>
                <w:szCs w:val="19"/>
              </w:rPr>
            </w:pPr>
            <w:r>
              <w:rPr>
                <w:snapToGrid w:val="0"/>
                <w:color w:val="000000"/>
                <w:sz w:val="19"/>
                <w:szCs w:val="19"/>
              </w:rPr>
              <w:t>Total</w:t>
            </w:r>
          </w:p>
        </w:tc>
      </w:tr>
      <w:tr w:rsidR="008D0F89" w:rsidRPr="00487CAB" w14:paraId="6B92FB16" w14:textId="77777777" w:rsidTr="008D0F89">
        <w:tc>
          <w:tcPr>
            <w:tcW w:w="4410" w:type="dxa"/>
          </w:tcPr>
          <w:p w14:paraId="440A3B39" w14:textId="2A1159DA" w:rsidR="008D0F89" w:rsidRPr="00487CAB" w:rsidRDefault="008D0F89" w:rsidP="00D338E8">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578EC8C1"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Preferred Stock</w:t>
            </w:r>
            <w:r>
              <w:rPr>
                <w:snapToGrid w:val="0"/>
                <w:color w:val="000000"/>
                <w:sz w:val="19"/>
                <w:szCs w:val="19"/>
              </w:rPr>
              <w:t xml:space="preserve"> (Note 9)</w:t>
            </w:r>
          </w:p>
        </w:tc>
        <w:tc>
          <w:tcPr>
            <w:tcW w:w="2250" w:type="dxa"/>
            <w:gridSpan w:val="2"/>
            <w:tcBorders>
              <w:bottom w:val="single" w:sz="4" w:space="0" w:color="auto"/>
            </w:tcBorders>
          </w:tcPr>
          <w:p w14:paraId="1BB88628"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10FF718B"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32B3A023" w14:textId="77777777" w:rsidR="008D0F89" w:rsidRPr="00487CAB" w:rsidRDefault="008D0F89" w:rsidP="00D338E8">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301332DC"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8D0F89" w:rsidRPr="00487CAB" w14:paraId="06B798F0" w14:textId="77777777" w:rsidTr="008D0F89">
        <w:tc>
          <w:tcPr>
            <w:tcW w:w="4410" w:type="dxa"/>
          </w:tcPr>
          <w:p w14:paraId="00B75AAE" w14:textId="77777777" w:rsidR="008D0F89" w:rsidRPr="00487CAB" w:rsidRDefault="008D0F89" w:rsidP="00D338E8">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151E770B"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4CC98C75"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6B1E30F7"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00496EC4"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1C2B1292"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3B743BD0" w14:textId="77777777" w:rsidR="008D0F89" w:rsidRPr="00487CAB" w:rsidRDefault="008D0F89" w:rsidP="00D338E8">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75277B71"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Equity (Deficiency)</w:t>
            </w:r>
          </w:p>
        </w:tc>
      </w:tr>
      <w:tr w:rsidR="008D0F89" w:rsidRPr="00487CAB" w14:paraId="4F5996EF" w14:textId="77777777" w:rsidTr="008D0F89">
        <w:tc>
          <w:tcPr>
            <w:tcW w:w="4410" w:type="dxa"/>
          </w:tcPr>
          <w:p w14:paraId="4C72DE78" w14:textId="77777777" w:rsidR="008D0F89" w:rsidRPr="00487CAB"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Balance at December 31, 201</w:t>
            </w:r>
            <w:r>
              <w:rPr>
                <w:snapToGrid w:val="0"/>
                <w:color w:val="000000"/>
                <w:sz w:val="19"/>
                <w:szCs w:val="19"/>
              </w:rPr>
              <w:t>9</w:t>
            </w:r>
          </w:p>
        </w:tc>
        <w:tc>
          <w:tcPr>
            <w:tcW w:w="1170" w:type="dxa"/>
          </w:tcPr>
          <w:p w14:paraId="6DCD6CAB" w14:textId="77777777" w:rsidR="008D0F89" w:rsidRPr="00487CAB" w:rsidRDefault="008D0F89" w:rsidP="00D338E8">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2,486</w:t>
            </w:r>
          </w:p>
        </w:tc>
        <w:tc>
          <w:tcPr>
            <w:tcW w:w="1170" w:type="dxa"/>
          </w:tcPr>
          <w:p w14:paraId="7CCEDC78" w14:textId="77777777" w:rsidR="008D0F89" w:rsidRPr="00487CAB" w:rsidRDefault="008D0F89" w:rsidP="00D338E8">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1,932,433</w:t>
            </w:r>
          </w:p>
        </w:tc>
        <w:tc>
          <w:tcPr>
            <w:tcW w:w="1080" w:type="dxa"/>
          </w:tcPr>
          <w:p w14:paraId="26ECEDA4"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299,835</w:t>
            </w:r>
          </w:p>
        </w:tc>
        <w:tc>
          <w:tcPr>
            <w:tcW w:w="1170" w:type="dxa"/>
          </w:tcPr>
          <w:p w14:paraId="6A6584C4"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300</w:t>
            </w:r>
          </w:p>
        </w:tc>
        <w:tc>
          <w:tcPr>
            <w:tcW w:w="1440" w:type="dxa"/>
          </w:tcPr>
          <w:p w14:paraId="53A34B63"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39,340,224</w:t>
            </w:r>
          </w:p>
        </w:tc>
        <w:tc>
          <w:tcPr>
            <w:tcW w:w="1350" w:type="dxa"/>
          </w:tcPr>
          <w:p w14:paraId="3A8FFC4B" w14:textId="77777777" w:rsidR="008D0F89" w:rsidRPr="00487CAB" w:rsidRDefault="008D0F89" w:rsidP="00D338E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42,847,513</w:t>
            </w:r>
            <w:r w:rsidRPr="00487CAB">
              <w:rPr>
                <w:snapToGrid w:val="0"/>
                <w:color w:val="000000"/>
                <w:sz w:val="19"/>
                <w:szCs w:val="19"/>
              </w:rPr>
              <w:t>)</w:t>
            </w:r>
          </w:p>
        </w:tc>
        <w:tc>
          <w:tcPr>
            <w:tcW w:w="1800" w:type="dxa"/>
          </w:tcPr>
          <w:p w14:paraId="40CE8F3B" w14:textId="77777777" w:rsidR="008D0F89" w:rsidRPr="00487CAB" w:rsidRDefault="008D0F89" w:rsidP="00D338E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(1,</w:t>
            </w:r>
            <w:r>
              <w:rPr>
                <w:snapToGrid w:val="0"/>
                <w:color w:val="000000"/>
                <w:sz w:val="19"/>
                <w:szCs w:val="19"/>
              </w:rPr>
              <w:t>574,556</w:t>
            </w:r>
            <w:r w:rsidRPr="00487CAB">
              <w:rPr>
                <w:snapToGrid w:val="0"/>
                <w:color w:val="000000"/>
                <w:sz w:val="19"/>
                <w:szCs w:val="19"/>
              </w:rPr>
              <w:t>)</w:t>
            </w:r>
          </w:p>
        </w:tc>
      </w:tr>
      <w:tr w:rsidR="008D0F89" w:rsidRPr="00487CAB" w14:paraId="111AEE3C" w14:textId="77777777" w:rsidTr="008D0F89">
        <w:tc>
          <w:tcPr>
            <w:tcW w:w="4410" w:type="dxa"/>
          </w:tcPr>
          <w:p w14:paraId="3B003A1F" w14:textId="77777777" w:rsidR="008D0F89" w:rsidRPr="00487CAB"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ab/>
              <w:t>Sale of convertible preferred stock</w:t>
            </w:r>
            <w:r>
              <w:rPr>
                <w:snapToGrid w:val="0"/>
                <w:color w:val="000000"/>
                <w:sz w:val="19"/>
                <w:szCs w:val="19"/>
              </w:rPr>
              <w:t xml:space="preserve"> for cash</w:t>
            </w:r>
          </w:p>
        </w:tc>
        <w:tc>
          <w:tcPr>
            <w:tcW w:w="1170" w:type="dxa"/>
          </w:tcPr>
          <w:p w14:paraId="12C2954D" w14:textId="77777777" w:rsidR="008D0F89" w:rsidRPr="00487CAB" w:rsidRDefault="008D0F89" w:rsidP="00D338E8">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w:t>
            </w:r>
          </w:p>
        </w:tc>
        <w:tc>
          <w:tcPr>
            <w:tcW w:w="1170" w:type="dxa"/>
          </w:tcPr>
          <w:p w14:paraId="4DE65CE0" w14:textId="77777777" w:rsidR="008D0F89" w:rsidRPr="00487CAB" w:rsidRDefault="008D0F89" w:rsidP="00D338E8">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300,000</w:t>
            </w:r>
          </w:p>
        </w:tc>
        <w:tc>
          <w:tcPr>
            <w:tcW w:w="1080" w:type="dxa"/>
          </w:tcPr>
          <w:p w14:paraId="1985D62B"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3E75EC77"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4CFD5796"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350" w:type="dxa"/>
          </w:tcPr>
          <w:p w14:paraId="2E1604D6" w14:textId="77777777" w:rsidR="008D0F89" w:rsidRPr="00487CAB" w:rsidRDefault="008D0F89" w:rsidP="00D338E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1DC45C70" w14:textId="77777777" w:rsidR="008D0F89" w:rsidRPr="00487CAB" w:rsidRDefault="008D0F89" w:rsidP="00D338E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300,000</w:t>
            </w:r>
          </w:p>
        </w:tc>
      </w:tr>
      <w:tr w:rsidR="008D0F89" w:rsidRPr="00487CAB" w14:paraId="4DF453B1" w14:textId="77777777" w:rsidTr="008D0F89">
        <w:tc>
          <w:tcPr>
            <w:tcW w:w="4410" w:type="dxa"/>
          </w:tcPr>
          <w:p w14:paraId="51323A74" w14:textId="77777777" w:rsidR="008D0F89" w:rsidRPr="008D0F89"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ab/>
            </w:r>
            <w:r w:rsidRPr="008D0F89">
              <w:rPr>
                <w:snapToGrid w:val="0"/>
                <w:color w:val="000000"/>
                <w:sz w:val="19"/>
                <w:szCs w:val="19"/>
              </w:rPr>
              <w:t>Conversion of preferred stock to common stock</w:t>
            </w:r>
          </w:p>
        </w:tc>
        <w:tc>
          <w:tcPr>
            <w:tcW w:w="1170" w:type="dxa"/>
          </w:tcPr>
          <w:p w14:paraId="0EF958FF" w14:textId="77777777" w:rsidR="008D0F89" w:rsidRPr="008D0F89" w:rsidRDefault="008D0F89" w:rsidP="00D338E8">
            <w:pPr>
              <w:tabs>
                <w:tab w:val="decimal" w:pos="917"/>
                <w:tab w:val="left" w:pos="2340"/>
                <w:tab w:val="right" w:pos="9180"/>
              </w:tabs>
              <w:rPr>
                <w:snapToGrid w:val="0"/>
                <w:color w:val="000000"/>
                <w:sz w:val="19"/>
                <w:szCs w:val="19"/>
              </w:rPr>
            </w:pPr>
            <w:r w:rsidRPr="008D0F89">
              <w:rPr>
                <w:snapToGrid w:val="0"/>
                <w:color w:val="000000"/>
                <w:sz w:val="19"/>
                <w:szCs w:val="19"/>
              </w:rPr>
              <w:tab/>
              <w:t>(2,386)</w:t>
            </w:r>
          </w:p>
        </w:tc>
        <w:tc>
          <w:tcPr>
            <w:tcW w:w="1170" w:type="dxa"/>
          </w:tcPr>
          <w:p w14:paraId="0ED7F4D9" w14:textId="77777777" w:rsidR="008D0F89" w:rsidRPr="008D0F89" w:rsidRDefault="008D0F89" w:rsidP="00D338E8">
            <w:pPr>
              <w:tabs>
                <w:tab w:val="decimal" w:pos="798"/>
                <w:tab w:val="left" w:pos="2340"/>
                <w:tab w:val="right" w:pos="9180"/>
              </w:tabs>
              <w:rPr>
                <w:snapToGrid w:val="0"/>
                <w:color w:val="000000"/>
                <w:sz w:val="19"/>
                <w:szCs w:val="19"/>
              </w:rPr>
            </w:pPr>
            <w:r w:rsidRPr="008D0F89">
              <w:rPr>
                <w:snapToGrid w:val="0"/>
                <w:color w:val="000000"/>
                <w:sz w:val="19"/>
                <w:szCs w:val="19"/>
              </w:rPr>
              <w:tab/>
              <w:t>(1,856,338)</w:t>
            </w:r>
          </w:p>
        </w:tc>
        <w:tc>
          <w:tcPr>
            <w:tcW w:w="1080" w:type="dxa"/>
          </w:tcPr>
          <w:p w14:paraId="0DD8E3E1" w14:textId="77777777" w:rsidR="008D0F89" w:rsidRPr="008D0F89" w:rsidRDefault="008D0F89" w:rsidP="00D338E8">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t>13,481,349</w:t>
            </w:r>
          </w:p>
        </w:tc>
        <w:tc>
          <w:tcPr>
            <w:tcW w:w="1170" w:type="dxa"/>
          </w:tcPr>
          <w:p w14:paraId="54AAE74F" w14:textId="77777777" w:rsidR="008D0F89" w:rsidRPr="008D0F89" w:rsidRDefault="008D0F89" w:rsidP="00D338E8">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t>13,481</w:t>
            </w:r>
          </w:p>
        </w:tc>
        <w:tc>
          <w:tcPr>
            <w:tcW w:w="1440" w:type="dxa"/>
          </w:tcPr>
          <w:p w14:paraId="3B78A0DC" w14:textId="77777777" w:rsidR="008D0F89" w:rsidRPr="008D0F89" w:rsidRDefault="008D0F89" w:rsidP="00D338E8">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t>1,842,857</w:t>
            </w:r>
          </w:p>
        </w:tc>
        <w:tc>
          <w:tcPr>
            <w:tcW w:w="1350" w:type="dxa"/>
          </w:tcPr>
          <w:p w14:paraId="1DBFE5A0" w14:textId="77777777" w:rsidR="008D0F89" w:rsidRPr="008D0F89" w:rsidRDefault="008D0F89" w:rsidP="00D338E8">
            <w:pPr>
              <w:tabs>
                <w:tab w:val="decimal" w:pos="1150"/>
                <w:tab w:val="left" w:pos="2340"/>
                <w:tab w:val="right" w:pos="9180"/>
              </w:tabs>
              <w:rPr>
                <w:snapToGrid w:val="0"/>
                <w:color w:val="000000"/>
                <w:sz w:val="19"/>
                <w:szCs w:val="19"/>
              </w:rPr>
            </w:pPr>
            <w:r w:rsidRPr="008D0F89">
              <w:rPr>
                <w:snapToGrid w:val="0"/>
                <w:color w:val="000000"/>
                <w:sz w:val="19"/>
                <w:szCs w:val="19"/>
              </w:rPr>
              <w:tab/>
              <w:t>-</w:t>
            </w:r>
          </w:p>
        </w:tc>
        <w:tc>
          <w:tcPr>
            <w:tcW w:w="1800" w:type="dxa"/>
          </w:tcPr>
          <w:p w14:paraId="65D8EC76" w14:textId="77777777" w:rsidR="008D0F89" w:rsidRPr="00487CAB" w:rsidRDefault="008D0F89" w:rsidP="00D338E8">
            <w:pPr>
              <w:tabs>
                <w:tab w:val="decimal" w:pos="1418"/>
                <w:tab w:val="right" w:pos="9180"/>
              </w:tabs>
              <w:rPr>
                <w:snapToGrid w:val="0"/>
                <w:color w:val="000000"/>
                <w:sz w:val="19"/>
                <w:szCs w:val="19"/>
              </w:rPr>
            </w:pPr>
            <w:r w:rsidRPr="008D0F89">
              <w:rPr>
                <w:snapToGrid w:val="0"/>
                <w:color w:val="000000"/>
                <w:sz w:val="19"/>
                <w:szCs w:val="19"/>
              </w:rPr>
              <w:tab/>
              <w:t>-</w:t>
            </w:r>
          </w:p>
        </w:tc>
      </w:tr>
      <w:tr w:rsidR="008D0F89" w:rsidRPr="00487CAB" w14:paraId="136E1824" w14:textId="77777777" w:rsidTr="008D0F89">
        <w:tc>
          <w:tcPr>
            <w:tcW w:w="4410" w:type="dxa"/>
          </w:tcPr>
          <w:p w14:paraId="313B8B90" w14:textId="77777777" w:rsidR="008D0F89" w:rsidRPr="00487CAB" w:rsidRDefault="008D0F89" w:rsidP="00D338E8">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5465DA1E" w14:textId="77777777" w:rsidR="008D0F89" w:rsidRPr="00487CAB" w:rsidRDefault="008D0F89" w:rsidP="00D338E8">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626DA3B0" w14:textId="77777777" w:rsidR="008D0F89" w:rsidRPr="00487CAB" w:rsidRDefault="008D0F89" w:rsidP="00D338E8">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32D7B45"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Pr>
                <w:snapToGrid w:val="0"/>
                <w:color w:val="000000"/>
                <w:sz w:val="19"/>
                <w:szCs w:val="19"/>
              </w:rPr>
              <w:tab/>
              <w:t>10,417</w:t>
            </w:r>
          </w:p>
        </w:tc>
        <w:tc>
          <w:tcPr>
            <w:tcW w:w="1170" w:type="dxa"/>
          </w:tcPr>
          <w:p w14:paraId="22DEC1DC"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Pr>
                <w:snapToGrid w:val="0"/>
                <w:color w:val="000000"/>
                <w:sz w:val="19"/>
                <w:szCs w:val="19"/>
              </w:rPr>
              <w:tab/>
              <w:t>11</w:t>
            </w:r>
          </w:p>
        </w:tc>
        <w:tc>
          <w:tcPr>
            <w:tcW w:w="1440" w:type="dxa"/>
          </w:tcPr>
          <w:p w14:paraId="56BFECD0"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Pr>
                <w:snapToGrid w:val="0"/>
                <w:color w:val="000000"/>
                <w:sz w:val="19"/>
                <w:szCs w:val="19"/>
              </w:rPr>
              <w:tab/>
              <w:t>5,989</w:t>
            </w:r>
          </w:p>
        </w:tc>
        <w:tc>
          <w:tcPr>
            <w:tcW w:w="1350" w:type="dxa"/>
          </w:tcPr>
          <w:p w14:paraId="1BECC3E0" w14:textId="77777777" w:rsidR="008D0F89" w:rsidRPr="00487CAB" w:rsidRDefault="008D0F89" w:rsidP="00D338E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652339D2" w14:textId="77777777" w:rsidR="008D0F89" w:rsidRPr="00487CAB" w:rsidRDefault="008D0F89" w:rsidP="00D338E8">
            <w:pPr>
              <w:tabs>
                <w:tab w:val="decimal" w:pos="1418"/>
                <w:tab w:val="right" w:pos="9180"/>
              </w:tabs>
              <w:rPr>
                <w:snapToGrid w:val="0"/>
                <w:color w:val="000000"/>
                <w:sz w:val="19"/>
                <w:szCs w:val="19"/>
              </w:rPr>
            </w:pPr>
            <w:r>
              <w:rPr>
                <w:snapToGrid w:val="0"/>
                <w:color w:val="000000"/>
                <w:sz w:val="19"/>
                <w:szCs w:val="19"/>
              </w:rPr>
              <w:tab/>
              <w:t>6,000</w:t>
            </w:r>
          </w:p>
        </w:tc>
      </w:tr>
      <w:tr w:rsidR="008D0F89" w:rsidRPr="00487CAB" w14:paraId="347745C8" w14:textId="77777777" w:rsidTr="008D0F89">
        <w:tc>
          <w:tcPr>
            <w:tcW w:w="4410" w:type="dxa"/>
          </w:tcPr>
          <w:p w14:paraId="01A0D14F" w14:textId="77777777" w:rsidR="008D0F89" w:rsidRPr="00487CAB"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20</w:t>
            </w:r>
          </w:p>
        </w:tc>
        <w:tc>
          <w:tcPr>
            <w:tcW w:w="1170" w:type="dxa"/>
            <w:tcBorders>
              <w:bottom w:val="single" w:sz="4" w:space="0" w:color="auto"/>
            </w:tcBorders>
          </w:tcPr>
          <w:p w14:paraId="118A67F8" w14:textId="77777777" w:rsidR="008D0F89" w:rsidRPr="00487CAB" w:rsidRDefault="008D0F89" w:rsidP="00D338E8">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5C34547" w14:textId="77777777" w:rsidR="008D0F89" w:rsidRPr="00487CAB" w:rsidRDefault="008D0F89" w:rsidP="00D338E8">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2F456BE7"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5495A78"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A206BBF"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08D25EC9" w14:textId="77777777" w:rsidR="008D0F89" w:rsidRPr="00487CAB" w:rsidRDefault="008D0F89" w:rsidP="00D338E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(595,694)</w:t>
            </w:r>
          </w:p>
        </w:tc>
        <w:tc>
          <w:tcPr>
            <w:tcW w:w="1800" w:type="dxa"/>
            <w:tcBorders>
              <w:bottom w:val="single" w:sz="4" w:space="0" w:color="auto"/>
            </w:tcBorders>
          </w:tcPr>
          <w:p w14:paraId="098AFF78" w14:textId="77777777" w:rsidR="008D0F89" w:rsidRPr="00487CAB" w:rsidRDefault="008D0F89" w:rsidP="00D338E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(595,694)</w:t>
            </w:r>
          </w:p>
        </w:tc>
      </w:tr>
      <w:tr w:rsidR="008D0F89" w:rsidRPr="00487CAB" w14:paraId="4933F0DE" w14:textId="77777777" w:rsidTr="008D0F89">
        <w:tc>
          <w:tcPr>
            <w:tcW w:w="4410" w:type="dxa"/>
          </w:tcPr>
          <w:p w14:paraId="5EBCE36B" w14:textId="77777777" w:rsidR="008D0F89" w:rsidRPr="00487CAB"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Balance at March 31, 20</w:t>
            </w:r>
            <w:r>
              <w:rPr>
                <w:snapToGrid w:val="0"/>
                <w:color w:val="000000"/>
                <w:sz w:val="19"/>
                <w:szCs w:val="19"/>
              </w:rPr>
              <w:t>20</w:t>
            </w:r>
          </w:p>
        </w:tc>
        <w:tc>
          <w:tcPr>
            <w:tcW w:w="1170" w:type="dxa"/>
            <w:tcBorders>
              <w:top w:val="single" w:sz="4" w:space="0" w:color="auto"/>
              <w:bottom w:val="double" w:sz="4" w:space="0" w:color="auto"/>
            </w:tcBorders>
          </w:tcPr>
          <w:p w14:paraId="0F6D70F1" w14:textId="77777777" w:rsidR="008D0F89" w:rsidRPr="00487CAB" w:rsidRDefault="008D0F89" w:rsidP="00D338E8">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400</w:t>
            </w:r>
          </w:p>
        </w:tc>
        <w:tc>
          <w:tcPr>
            <w:tcW w:w="1170" w:type="dxa"/>
            <w:tcBorders>
              <w:top w:val="single" w:sz="4" w:space="0" w:color="auto"/>
              <w:bottom w:val="double" w:sz="4" w:space="0" w:color="auto"/>
            </w:tcBorders>
          </w:tcPr>
          <w:p w14:paraId="749284B2" w14:textId="77777777" w:rsidR="008D0F89" w:rsidRPr="00487CAB" w:rsidRDefault="008D0F89" w:rsidP="00D338E8">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376,095</w:t>
            </w:r>
          </w:p>
        </w:tc>
        <w:tc>
          <w:tcPr>
            <w:tcW w:w="1080" w:type="dxa"/>
            <w:tcBorders>
              <w:top w:val="single" w:sz="4" w:space="0" w:color="auto"/>
              <w:bottom w:val="double" w:sz="4" w:space="0" w:color="auto"/>
            </w:tcBorders>
          </w:tcPr>
          <w:p w14:paraId="33F994E1"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13,791,601</w:t>
            </w:r>
          </w:p>
        </w:tc>
        <w:tc>
          <w:tcPr>
            <w:tcW w:w="1170" w:type="dxa"/>
            <w:tcBorders>
              <w:top w:val="single" w:sz="4" w:space="0" w:color="auto"/>
              <w:bottom w:val="double" w:sz="4" w:space="0" w:color="auto"/>
            </w:tcBorders>
          </w:tcPr>
          <w:p w14:paraId="08D14B17"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13,792</w:t>
            </w:r>
          </w:p>
        </w:tc>
        <w:tc>
          <w:tcPr>
            <w:tcW w:w="1440" w:type="dxa"/>
            <w:tcBorders>
              <w:top w:val="single" w:sz="4" w:space="0" w:color="auto"/>
              <w:bottom w:val="double" w:sz="4" w:space="0" w:color="auto"/>
            </w:tcBorders>
          </w:tcPr>
          <w:p w14:paraId="603A728B"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41,189,070</w:t>
            </w:r>
          </w:p>
        </w:tc>
        <w:tc>
          <w:tcPr>
            <w:tcW w:w="1350" w:type="dxa"/>
            <w:tcBorders>
              <w:top w:val="single" w:sz="4" w:space="0" w:color="auto"/>
              <w:bottom w:val="double" w:sz="4" w:space="0" w:color="auto"/>
            </w:tcBorders>
          </w:tcPr>
          <w:p w14:paraId="3D491962" w14:textId="77777777" w:rsidR="008D0F89" w:rsidRPr="00487CAB" w:rsidRDefault="008D0F89" w:rsidP="00D338E8">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(43,443,207)</w:t>
            </w:r>
          </w:p>
        </w:tc>
        <w:tc>
          <w:tcPr>
            <w:tcW w:w="1800" w:type="dxa"/>
            <w:tcBorders>
              <w:top w:val="single" w:sz="4" w:space="0" w:color="auto"/>
              <w:bottom w:val="double" w:sz="4" w:space="0" w:color="auto"/>
            </w:tcBorders>
          </w:tcPr>
          <w:p w14:paraId="385FAB1B" w14:textId="77777777" w:rsidR="008D0F89" w:rsidRPr="00487CAB" w:rsidRDefault="008D0F89" w:rsidP="00D338E8">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(1,864,250)</w:t>
            </w:r>
          </w:p>
        </w:tc>
      </w:tr>
      <w:tr w:rsidR="008D0F89" w:rsidRPr="00487CAB" w14:paraId="6F1D5684" w14:textId="77777777" w:rsidTr="008D0F89">
        <w:tc>
          <w:tcPr>
            <w:tcW w:w="4410" w:type="dxa"/>
          </w:tcPr>
          <w:p w14:paraId="68AC481E" w14:textId="77777777" w:rsidR="008D0F89" w:rsidRPr="00487CAB" w:rsidRDefault="008D0F89" w:rsidP="00D338E8">
            <w:pPr>
              <w:tabs>
                <w:tab w:val="left" w:pos="144"/>
                <w:tab w:val="left" w:pos="324"/>
                <w:tab w:val="right" w:pos="9180"/>
              </w:tabs>
              <w:rPr>
                <w:snapToGrid w:val="0"/>
                <w:color w:val="000000"/>
                <w:sz w:val="19"/>
                <w:szCs w:val="19"/>
              </w:rPr>
            </w:pPr>
          </w:p>
        </w:tc>
        <w:tc>
          <w:tcPr>
            <w:tcW w:w="1170" w:type="dxa"/>
          </w:tcPr>
          <w:p w14:paraId="34578E13" w14:textId="77777777" w:rsidR="008D0F89" w:rsidRPr="00487CAB" w:rsidRDefault="008D0F89" w:rsidP="00D338E8">
            <w:pPr>
              <w:tabs>
                <w:tab w:val="decimal" w:pos="917"/>
                <w:tab w:val="left" w:pos="2340"/>
                <w:tab w:val="right" w:pos="9180"/>
              </w:tabs>
              <w:rPr>
                <w:snapToGrid w:val="0"/>
                <w:color w:val="000000"/>
                <w:sz w:val="19"/>
                <w:szCs w:val="19"/>
              </w:rPr>
            </w:pPr>
          </w:p>
        </w:tc>
        <w:tc>
          <w:tcPr>
            <w:tcW w:w="1170" w:type="dxa"/>
          </w:tcPr>
          <w:p w14:paraId="1DF24D50" w14:textId="77777777" w:rsidR="008D0F89" w:rsidRPr="00487CAB" w:rsidRDefault="008D0F89" w:rsidP="00D338E8">
            <w:pPr>
              <w:tabs>
                <w:tab w:val="decimal" w:pos="798"/>
                <w:tab w:val="left" w:pos="2340"/>
                <w:tab w:val="right" w:pos="9180"/>
              </w:tabs>
              <w:rPr>
                <w:snapToGrid w:val="0"/>
                <w:color w:val="000000"/>
                <w:sz w:val="19"/>
                <w:szCs w:val="19"/>
              </w:rPr>
            </w:pPr>
          </w:p>
        </w:tc>
        <w:tc>
          <w:tcPr>
            <w:tcW w:w="1080" w:type="dxa"/>
          </w:tcPr>
          <w:p w14:paraId="738CCACE"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p>
        </w:tc>
        <w:tc>
          <w:tcPr>
            <w:tcW w:w="1170" w:type="dxa"/>
          </w:tcPr>
          <w:p w14:paraId="7B4D2B61"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p>
        </w:tc>
        <w:tc>
          <w:tcPr>
            <w:tcW w:w="1440" w:type="dxa"/>
          </w:tcPr>
          <w:p w14:paraId="5A8633D4"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p>
        </w:tc>
        <w:tc>
          <w:tcPr>
            <w:tcW w:w="1350" w:type="dxa"/>
          </w:tcPr>
          <w:p w14:paraId="697F3523" w14:textId="77777777" w:rsidR="008D0F89" w:rsidRPr="00487CAB" w:rsidRDefault="008D0F89" w:rsidP="00D338E8">
            <w:pPr>
              <w:tabs>
                <w:tab w:val="decimal" w:pos="1150"/>
                <w:tab w:val="left" w:pos="2340"/>
                <w:tab w:val="right" w:pos="9180"/>
              </w:tabs>
              <w:rPr>
                <w:snapToGrid w:val="0"/>
                <w:color w:val="000000"/>
                <w:sz w:val="19"/>
                <w:szCs w:val="19"/>
              </w:rPr>
            </w:pPr>
          </w:p>
        </w:tc>
        <w:tc>
          <w:tcPr>
            <w:tcW w:w="1800" w:type="dxa"/>
          </w:tcPr>
          <w:p w14:paraId="502679D9" w14:textId="77777777" w:rsidR="008D0F89" w:rsidRPr="00487CAB" w:rsidRDefault="008D0F89" w:rsidP="00D338E8">
            <w:pPr>
              <w:tabs>
                <w:tab w:val="decimal" w:pos="1418"/>
                <w:tab w:val="right" w:pos="9180"/>
              </w:tabs>
              <w:rPr>
                <w:snapToGrid w:val="0"/>
                <w:color w:val="000000"/>
                <w:sz w:val="19"/>
                <w:szCs w:val="19"/>
              </w:rPr>
            </w:pPr>
          </w:p>
        </w:tc>
      </w:tr>
    </w:tbl>
    <w:p w14:paraId="3CC87C4C" w14:textId="7255403B" w:rsidR="008D0F89" w:rsidRDefault="008D0F89" w:rsidP="004F479E">
      <w:pPr>
        <w:tabs>
          <w:tab w:val="decimal" w:pos="1152"/>
          <w:tab w:val="left" w:pos="2340"/>
          <w:tab w:val="right" w:pos="9180"/>
        </w:tabs>
        <w:rPr>
          <w:snapToGrid w:val="0"/>
          <w:color w:val="000000"/>
          <w:sz w:val="19"/>
          <w:szCs w:val="19"/>
        </w:rPr>
      </w:pPr>
    </w:p>
    <w:p w14:paraId="4B8E025B" w14:textId="77777777" w:rsidR="008D0F89" w:rsidRDefault="008D0F89" w:rsidP="004F479E">
      <w:pPr>
        <w:tabs>
          <w:tab w:val="decimal" w:pos="1152"/>
          <w:tab w:val="left" w:pos="2340"/>
          <w:tab w:val="right" w:pos="9180"/>
        </w:tabs>
        <w:rPr>
          <w:snapToGrid w:val="0"/>
          <w:color w:val="000000"/>
          <w:sz w:val="19"/>
          <w:szCs w:val="19"/>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260"/>
        <w:gridCol w:w="1080"/>
        <w:gridCol w:w="1080"/>
        <w:gridCol w:w="1170"/>
        <w:gridCol w:w="1440"/>
        <w:gridCol w:w="1350"/>
        <w:gridCol w:w="1800"/>
      </w:tblGrid>
      <w:tr w:rsidR="004F479E" w:rsidRPr="00487CAB" w14:paraId="65E672E9" w14:textId="77777777" w:rsidTr="0043475C">
        <w:tc>
          <w:tcPr>
            <w:tcW w:w="4410" w:type="dxa"/>
          </w:tcPr>
          <w:p w14:paraId="0061E4F1" w14:textId="77777777" w:rsidR="004F479E" w:rsidRPr="00487CAB" w:rsidRDefault="004F479E" w:rsidP="0043475C">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46989059" w14:textId="74A831EC" w:rsidR="004F479E" w:rsidRPr="00487CAB" w:rsidRDefault="004F479E" w:rsidP="0043475C">
            <w:pPr>
              <w:tabs>
                <w:tab w:val="right" w:pos="9180"/>
              </w:tabs>
              <w:jc w:val="center"/>
              <w:rPr>
                <w:snapToGrid w:val="0"/>
                <w:color w:val="000000"/>
                <w:sz w:val="19"/>
                <w:szCs w:val="19"/>
              </w:rPr>
            </w:pPr>
            <w:r>
              <w:rPr>
                <w:snapToGrid w:val="0"/>
                <w:color w:val="000000"/>
                <w:sz w:val="19"/>
                <w:szCs w:val="19"/>
              </w:rPr>
              <w:t>Three-Months Ended March 31, 2019</w:t>
            </w:r>
          </w:p>
        </w:tc>
      </w:tr>
      <w:tr w:rsidR="004F479E" w:rsidRPr="00487CAB" w14:paraId="56F94F1E" w14:textId="77777777" w:rsidTr="0043475C">
        <w:tc>
          <w:tcPr>
            <w:tcW w:w="4410" w:type="dxa"/>
          </w:tcPr>
          <w:p w14:paraId="54D32EEF" w14:textId="77777777" w:rsidR="004F479E" w:rsidRPr="00487CAB" w:rsidRDefault="004F479E" w:rsidP="0043475C">
            <w:pPr>
              <w:tabs>
                <w:tab w:val="left" w:pos="144"/>
                <w:tab w:val="left" w:pos="324"/>
                <w:tab w:val="right" w:pos="9180"/>
              </w:tabs>
              <w:rPr>
                <w:snapToGrid w:val="0"/>
                <w:color w:val="000000"/>
                <w:sz w:val="19"/>
                <w:szCs w:val="19"/>
              </w:rPr>
            </w:pPr>
          </w:p>
        </w:tc>
        <w:tc>
          <w:tcPr>
            <w:tcW w:w="2340" w:type="dxa"/>
            <w:gridSpan w:val="2"/>
          </w:tcPr>
          <w:p w14:paraId="44BC5BF1" w14:textId="77777777" w:rsidR="004F479E" w:rsidRPr="00487CAB" w:rsidRDefault="004F479E" w:rsidP="0043475C">
            <w:pPr>
              <w:tabs>
                <w:tab w:val="left" w:pos="2340"/>
                <w:tab w:val="right" w:pos="9180"/>
              </w:tabs>
              <w:jc w:val="center"/>
              <w:rPr>
                <w:snapToGrid w:val="0"/>
                <w:color w:val="000000"/>
                <w:sz w:val="19"/>
                <w:szCs w:val="19"/>
              </w:rPr>
            </w:pPr>
          </w:p>
        </w:tc>
        <w:tc>
          <w:tcPr>
            <w:tcW w:w="1080" w:type="dxa"/>
          </w:tcPr>
          <w:p w14:paraId="09201395" w14:textId="77777777" w:rsidR="004F479E" w:rsidRPr="00487CAB" w:rsidRDefault="004F479E" w:rsidP="0043475C">
            <w:pPr>
              <w:tabs>
                <w:tab w:val="decimal" w:pos="1148"/>
                <w:tab w:val="right" w:pos="9180"/>
              </w:tabs>
              <w:jc w:val="center"/>
              <w:rPr>
                <w:snapToGrid w:val="0"/>
                <w:color w:val="000000"/>
                <w:sz w:val="19"/>
                <w:szCs w:val="19"/>
              </w:rPr>
            </w:pPr>
          </w:p>
        </w:tc>
        <w:tc>
          <w:tcPr>
            <w:tcW w:w="1170" w:type="dxa"/>
          </w:tcPr>
          <w:p w14:paraId="2E9BE53D" w14:textId="77777777" w:rsidR="004F479E" w:rsidRPr="00487CAB" w:rsidRDefault="004F479E" w:rsidP="0043475C">
            <w:pPr>
              <w:tabs>
                <w:tab w:val="decimal" w:pos="1148"/>
                <w:tab w:val="right" w:pos="9180"/>
              </w:tabs>
              <w:jc w:val="center"/>
              <w:rPr>
                <w:snapToGrid w:val="0"/>
                <w:color w:val="000000"/>
                <w:sz w:val="19"/>
                <w:szCs w:val="19"/>
              </w:rPr>
            </w:pPr>
          </w:p>
        </w:tc>
        <w:tc>
          <w:tcPr>
            <w:tcW w:w="1440" w:type="dxa"/>
          </w:tcPr>
          <w:p w14:paraId="2DB63226" w14:textId="77777777" w:rsidR="004F479E" w:rsidRPr="00487CAB" w:rsidRDefault="004F479E" w:rsidP="0043475C">
            <w:pPr>
              <w:tabs>
                <w:tab w:val="decimal" w:pos="1148"/>
                <w:tab w:val="right" w:pos="9180"/>
              </w:tabs>
              <w:jc w:val="center"/>
              <w:rPr>
                <w:snapToGrid w:val="0"/>
                <w:color w:val="000000"/>
                <w:sz w:val="19"/>
                <w:szCs w:val="19"/>
              </w:rPr>
            </w:pPr>
          </w:p>
        </w:tc>
        <w:tc>
          <w:tcPr>
            <w:tcW w:w="1350" w:type="dxa"/>
          </w:tcPr>
          <w:p w14:paraId="41AE9F3E" w14:textId="77777777" w:rsidR="004F479E" w:rsidRPr="00487CAB" w:rsidRDefault="004F479E" w:rsidP="0043475C">
            <w:pPr>
              <w:tabs>
                <w:tab w:val="right" w:pos="9180"/>
              </w:tabs>
              <w:jc w:val="center"/>
              <w:rPr>
                <w:snapToGrid w:val="0"/>
                <w:color w:val="000000"/>
                <w:sz w:val="19"/>
                <w:szCs w:val="19"/>
              </w:rPr>
            </w:pPr>
          </w:p>
        </w:tc>
        <w:tc>
          <w:tcPr>
            <w:tcW w:w="1800" w:type="dxa"/>
          </w:tcPr>
          <w:p w14:paraId="631FD348" w14:textId="77777777" w:rsidR="004F479E" w:rsidRPr="00487CAB" w:rsidRDefault="004F479E" w:rsidP="0043475C">
            <w:pPr>
              <w:tabs>
                <w:tab w:val="right" w:pos="9180"/>
              </w:tabs>
              <w:jc w:val="center"/>
              <w:rPr>
                <w:snapToGrid w:val="0"/>
                <w:color w:val="000000"/>
                <w:sz w:val="19"/>
                <w:szCs w:val="19"/>
              </w:rPr>
            </w:pPr>
            <w:r w:rsidRPr="00487CAB">
              <w:rPr>
                <w:snapToGrid w:val="0"/>
                <w:color w:val="000000"/>
                <w:sz w:val="19"/>
                <w:szCs w:val="19"/>
              </w:rPr>
              <w:t>Total</w:t>
            </w:r>
          </w:p>
        </w:tc>
      </w:tr>
      <w:tr w:rsidR="004F479E" w:rsidRPr="00487CAB" w14:paraId="61662C18" w14:textId="77777777" w:rsidTr="0043475C">
        <w:tc>
          <w:tcPr>
            <w:tcW w:w="4410" w:type="dxa"/>
          </w:tcPr>
          <w:p w14:paraId="355D0332" w14:textId="77777777" w:rsidR="004F479E" w:rsidRPr="00487CAB" w:rsidRDefault="004F479E" w:rsidP="0043475C">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4C507213" w14:textId="77777777" w:rsidR="004F479E" w:rsidRPr="00487CAB" w:rsidRDefault="004F479E" w:rsidP="0043475C">
            <w:pPr>
              <w:tabs>
                <w:tab w:val="left" w:pos="2340"/>
                <w:tab w:val="right" w:pos="9180"/>
              </w:tabs>
              <w:jc w:val="center"/>
              <w:rPr>
                <w:snapToGrid w:val="0"/>
                <w:color w:val="000000"/>
                <w:sz w:val="19"/>
                <w:szCs w:val="19"/>
              </w:rPr>
            </w:pPr>
            <w:r w:rsidRPr="00487CAB">
              <w:rPr>
                <w:snapToGrid w:val="0"/>
                <w:color w:val="000000"/>
                <w:sz w:val="19"/>
                <w:szCs w:val="19"/>
              </w:rPr>
              <w:t>Preferred Stock</w:t>
            </w:r>
            <w:r>
              <w:rPr>
                <w:snapToGrid w:val="0"/>
                <w:color w:val="000000"/>
                <w:sz w:val="19"/>
                <w:szCs w:val="19"/>
              </w:rPr>
              <w:t xml:space="preserve"> (Note 9)</w:t>
            </w:r>
          </w:p>
        </w:tc>
        <w:tc>
          <w:tcPr>
            <w:tcW w:w="2250" w:type="dxa"/>
            <w:gridSpan w:val="2"/>
            <w:tcBorders>
              <w:bottom w:val="single" w:sz="4" w:space="0" w:color="auto"/>
            </w:tcBorders>
          </w:tcPr>
          <w:p w14:paraId="453525BC" w14:textId="77777777" w:rsidR="004F479E" w:rsidRPr="00487CAB" w:rsidRDefault="004F479E" w:rsidP="0043475C">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22F5672E" w14:textId="77777777" w:rsidR="004F479E" w:rsidRPr="00487CAB" w:rsidRDefault="004F479E" w:rsidP="0043475C">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3B8406EF" w14:textId="77777777" w:rsidR="004F479E" w:rsidRPr="00487CAB" w:rsidRDefault="004F479E" w:rsidP="0043475C">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530AD3A4" w14:textId="77777777" w:rsidR="004F479E" w:rsidRPr="00487CAB" w:rsidRDefault="004F479E" w:rsidP="0043475C">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4F479E" w:rsidRPr="00487CAB" w14:paraId="203F3B27" w14:textId="77777777" w:rsidTr="0043475C">
        <w:tc>
          <w:tcPr>
            <w:tcW w:w="4410" w:type="dxa"/>
          </w:tcPr>
          <w:p w14:paraId="27B675AE" w14:textId="77777777" w:rsidR="004F479E" w:rsidRPr="00487CAB" w:rsidRDefault="004F479E" w:rsidP="0043475C">
            <w:pPr>
              <w:tabs>
                <w:tab w:val="left" w:pos="144"/>
                <w:tab w:val="left" w:pos="324"/>
                <w:tab w:val="right" w:pos="9180"/>
              </w:tabs>
              <w:rPr>
                <w:snapToGrid w:val="0"/>
                <w:color w:val="000000"/>
                <w:sz w:val="19"/>
                <w:szCs w:val="19"/>
              </w:rPr>
            </w:pPr>
          </w:p>
        </w:tc>
        <w:tc>
          <w:tcPr>
            <w:tcW w:w="1260" w:type="dxa"/>
            <w:tcBorders>
              <w:top w:val="single" w:sz="4" w:space="0" w:color="auto"/>
              <w:bottom w:val="single" w:sz="4" w:space="0" w:color="auto"/>
            </w:tcBorders>
          </w:tcPr>
          <w:p w14:paraId="1DCD4956" w14:textId="77777777" w:rsidR="004F479E" w:rsidRPr="00487CAB" w:rsidRDefault="004F479E" w:rsidP="0043475C">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080" w:type="dxa"/>
            <w:tcBorders>
              <w:top w:val="single" w:sz="4" w:space="0" w:color="auto"/>
              <w:bottom w:val="single" w:sz="4" w:space="0" w:color="auto"/>
            </w:tcBorders>
          </w:tcPr>
          <w:p w14:paraId="678339C3" w14:textId="77777777" w:rsidR="004F479E" w:rsidRPr="00487CAB" w:rsidRDefault="004F479E" w:rsidP="0043475C">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304BDFA8" w14:textId="77777777" w:rsidR="004F479E" w:rsidRPr="00487CAB" w:rsidRDefault="004F479E" w:rsidP="0043475C">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69D0067F" w14:textId="77777777" w:rsidR="004F479E" w:rsidRPr="00487CAB" w:rsidRDefault="004F479E" w:rsidP="0043475C">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6C962780" w14:textId="77777777" w:rsidR="004F479E" w:rsidRPr="00487CAB" w:rsidRDefault="004F479E" w:rsidP="0043475C">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577652E2" w14:textId="77777777" w:rsidR="004F479E" w:rsidRPr="00487CAB" w:rsidRDefault="004F479E" w:rsidP="0043475C">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71568BD4" w14:textId="77777777" w:rsidR="004F479E" w:rsidRPr="00487CAB" w:rsidRDefault="004F479E" w:rsidP="0043475C">
            <w:pPr>
              <w:tabs>
                <w:tab w:val="left" w:pos="2340"/>
                <w:tab w:val="right" w:pos="9180"/>
              </w:tabs>
              <w:jc w:val="center"/>
              <w:rPr>
                <w:snapToGrid w:val="0"/>
                <w:color w:val="000000"/>
                <w:sz w:val="19"/>
                <w:szCs w:val="19"/>
              </w:rPr>
            </w:pPr>
            <w:r w:rsidRPr="00487CAB">
              <w:rPr>
                <w:snapToGrid w:val="0"/>
                <w:color w:val="000000"/>
                <w:sz w:val="19"/>
                <w:szCs w:val="19"/>
              </w:rPr>
              <w:t>Equity (Deficiency)</w:t>
            </w:r>
          </w:p>
        </w:tc>
      </w:tr>
      <w:tr w:rsidR="004F479E" w:rsidRPr="00487CAB" w14:paraId="4BC20A17" w14:textId="77777777" w:rsidTr="0043475C">
        <w:tc>
          <w:tcPr>
            <w:tcW w:w="4410" w:type="dxa"/>
          </w:tcPr>
          <w:p w14:paraId="34CD19D1" w14:textId="77777777" w:rsidR="004F479E" w:rsidRPr="00487CAB" w:rsidRDefault="004F479E" w:rsidP="0043475C">
            <w:pPr>
              <w:tabs>
                <w:tab w:val="left" w:pos="144"/>
                <w:tab w:val="left" w:pos="324"/>
                <w:tab w:val="right" w:pos="9180"/>
              </w:tabs>
              <w:rPr>
                <w:snapToGrid w:val="0"/>
                <w:color w:val="000000"/>
                <w:sz w:val="19"/>
                <w:szCs w:val="19"/>
              </w:rPr>
            </w:pPr>
            <w:r w:rsidRPr="00487CAB">
              <w:rPr>
                <w:snapToGrid w:val="0"/>
                <w:color w:val="000000"/>
                <w:sz w:val="19"/>
                <w:szCs w:val="19"/>
              </w:rPr>
              <w:t>Balance at December 31, 2018</w:t>
            </w:r>
          </w:p>
        </w:tc>
        <w:tc>
          <w:tcPr>
            <w:tcW w:w="1260" w:type="dxa"/>
          </w:tcPr>
          <w:p w14:paraId="3B6427D0" w14:textId="77777777" w:rsidR="004F479E" w:rsidRPr="00487CAB" w:rsidRDefault="004F479E" w:rsidP="0043475C">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3,450</w:t>
            </w:r>
          </w:p>
        </w:tc>
        <w:tc>
          <w:tcPr>
            <w:tcW w:w="1080" w:type="dxa"/>
          </w:tcPr>
          <w:p w14:paraId="0C583BF2" w14:textId="77777777" w:rsidR="004F479E" w:rsidRPr="00487CAB" w:rsidRDefault="004F479E" w:rsidP="0043475C">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1,971,333</w:t>
            </w:r>
          </w:p>
        </w:tc>
        <w:tc>
          <w:tcPr>
            <w:tcW w:w="1080" w:type="dxa"/>
          </w:tcPr>
          <w:p w14:paraId="30005D2D" w14:textId="133694D0"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3475C">
              <w:rPr>
                <w:snapToGrid w:val="0"/>
                <w:color w:val="000000"/>
                <w:sz w:val="19"/>
                <w:szCs w:val="19"/>
              </w:rPr>
              <w:t>219</w:t>
            </w:r>
          </w:p>
        </w:tc>
        <w:tc>
          <w:tcPr>
            <w:tcW w:w="1170" w:type="dxa"/>
          </w:tcPr>
          <w:p w14:paraId="19034BE9" w14:textId="7DAA61A6"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43475C">
              <w:rPr>
                <w:snapToGrid w:val="0"/>
                <w:color w:val="000000"/>
                <w:sz w:val="19"/>
                <w:szCs w:val="19"/>
              </w:rPr>
              <w:t>-</w:t>
            </w:r>
          </w:p>
        </w:tc>
        <w:tc>
          <w:tcPr>
            <w:tcW w:w="1440" w:type="dxa"/>
          </w:tcPr>
          <w:p w14:paraId="2E83E4D7" w14:textId="7A3036C0"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37,48</w:t>
            </w:r>
            <w:r w:rsidR="0043475C">
              <w:rPr>
                <w:snapToGrid w:val="0"/>
                <w:color w:val="000000"/>
                <w:sz w:val="19"/>
                <w:szCs w:val="19"/>
              </w:rPr>
              <w:t>3,204</w:t>
            </w:r>
          </w:p>
        </w:tc>
        <w:tc>
          <w:tcPr>
            <w:tcW w:w="1350" w:type="dxa"/>
          </w:tcPr>
          <w:p w14:paraId="14EED29E" w14:textId="77777777" w:rsidR="004F479E" w:rsidRPr="00487CAB" w:rsidRDefault="004F479E" w:rsidP="0043475C">
            <w:pPr>
              <w:tabs>
                <w:tab w:val="decimal" w:pos="1150"/>
                <w:tab w:val="left" w:pos="2340"/>
                <w:tab w:val="right" w:pos="9180"/>
              </w:tabs>
              <w:rPr>
                <w:snapToGrid w:val="0"/>
                <w:color w:val="000000"/>
                <w:sz w:val="19"/>
                <w:szCs w:val="19"/>
              </w:rPr>
            </w:pPr>
            <w:r w:rsidRPr="00487CAB">
              <w:rPr>
                <w:snapToGrid w:val="0"/>
                <w:color w:val="000000"/>
                <w:sz w:val="19"/>
                <w:szCs w:val="19"/>
              </w:rPr>
              <w:tab/>
              <w:t>$(40,476,884)</w:t>
            </w:r>
          </w:p>
        </w:tc>
        <w:tc>
          <w:tcPr>
            <w:tcW w:w="1800" w:type="dxa"/>
          </w:tcPr>
          <w:p w14:paraId="2912A7F4" w14:textId="77777777" w:rsidR="004F479E" w:rsidRPr="00487CAB" w:rsidRDefault="004F479E" w:rsidP="0043475C">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(1,022,347)</w:t>
            </w:r>
          </w:p>
        </w:tc>
      </w:tr>
      <w:tr w:rsidR="004F479E" w:rsidRPr="00487CAB" w14:paraId="04C031A1" w14:textId="77777777" w:rsidTr="0043475C">
        <w:tc>
          <w:tcPr>
            <w:tcW w:w="4410" w:type="dxa"/>
          </w:tcPr>
          <w:p w14:paraId="6E09F503" w14:textId="77777777" w:rsidR="004F479E" w:rsidRPr="00487CAB" w:rsidRDefault="004F479E" w:rsidP="0043475C">
            <w:pPr>
              <w:tabs>
                <w:tab w:val="left" w:pos="144"/>
                <w:tab w:val="left" w:pos="324"/>
                <w:tab w:val="right" w:pos="9180"/>
              </w:tabs>
              <w:rPr>
                <w:snapToGrid w:val="0"/>
                <w:color w:val="000000"/>
                <w:sz w:val="19"/>
                <w:szCs w:val="19"/>
              </w:rPr>
            </w:pPr>
            <w:r w:rsidRPr="00487CAB">
              <w:rPr>
                <w:snapToGrid w:val="0"/>
                <w:color w:val="000000"/>
                <w:sz w:val="19"/>
                <w:szCs w:val="19"/>
              </w:rPr>
              <w:tab/>
              <w:t>Sale of convertible preferred stock</w:t>
            </w:r>
          </w:p>
        </w:tc>
        <w:tc>
          <w:tcPr>
            <w:tcW w:w="1260" w:type="dxa"/>
          </w:tcPr>
          <w:p w14:paraId="0F095A12" w14:textId="77777777" w:rsidR="004F479E" w:rsidRPr="00487CAB" w:rsidRDefault="004F479E" w:rsidP="0043475C">
            <w:pPr>
              <w:tabs>
                <w:tab w:val="decimal" w:pos="917"/>
                <w:tab w:val="left" w:pos="2340"/>
                <w:tab w:val="right" w:pos="9180"/>
              </w:tabs>
              <w:rPr>
                <w:snapToGrid w:val="0"/>
                <w:color w:val="000000"/>
                <w:sz w:val="19"/>
                <w:szCs w:val="19"/>
              </w:rPr>
            </w:pPr>
            <w:r w:rsidRPr="00487CAB">
              <w:rPr>
                <w:snapToGrid w:val="0"/>
                <w:color w:val="000000"/>
                <w:sz w:val="19"/>
                <w:szCs w:val="19"/>
              </w:rPr>
              <w:tab/>
            </w:r>
          </w:p>
        </w:tc>
        <w:tc>
          <w:tcPr>
            <w:tcW w:w="1080" w:type="dxa"/>
          </w:tcPr>
          <w:p w14:paraId="74D12041" w14:textId="77777777" w:rsidR="004F479E" w:rsidRPr="00487CAB" w:rsidRDefault="004F479E" w:rsidP="0043475C">
            <w:pPr>
              <w:tabs>
                <w:tab w:val="decimal" w:pos="798"/>
                <w:tab w:val="left" w:pos="2340"/>
                <w:tab w:val="right" w:pos="9180"/>
              </w:tabs>
              <w:rPr>
                <w:snapToGrid w:val="0"/>
                <w:color w:val="000000"/>
                <w:sz w:val="19"/>
                <w:szCs w:val="19"/>
              </w:rPr>
            </w:pPr>
            <w:r w:rsidRPr="00487CAB">
              <w:rPr>
                <w:snapToGrid w:val="0"/>
                <w:color w:val="000000"/>
                <w:sz w:val="19"/>
                <w:szCs w:val="19"/>
              </w:rPr>
              <w:tab/>
            </w:r>
          </w:p>
        </w:tc>
        <w:tc>
          <w:tcPr>
            <w:tcW w:w="1080" w:type="dxa"/>
          </w:tcPr>
          <w:p w14:paraId="15CF54E7"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p>
        </w:tc>
        <w:tc>
          <w:tcPr>
            <w:tcW w:w="1170" w:type="dxa"/>
          </w:tcPr>
          <w:p w14:paraId="4DF8DBFD"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p>
        </w:tc>
        <w:tc>
          <w:tcPr>
            <w:tcW w:w="1440" w:type="dxa"/>
          </w:tcPr>
          <w:p w14:paraId="5F1C49FB"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p>
        </w:tc>
        <w:tc>
          <w:tcPr>
            <w:tcW w:w="1350" w:type="dxa"/>
          </w:tcPr>
          <w:p w14:paraId="5B4F108D" w14:textId="77777777" w:rsidR="004F479E" w:rsidRPr="00487CAB" w:rsidRDefault="004F479E" w:rsidP="0043475C">
            <w:pPr>
              <w:tabs>
                <w:tab w:val="decimal" w:pos="1150"/>
                <w:tab w:val="left" w:pos="2340"/>
                <w:tab w:val="right" w:pos="9180"/>
              </w:tabs>
              <w:rPr>
                <w:snapToGrid w:val="0"/>
                <w:color w:val="000000"/>
                <w:sz w:val="19"/>
                <w:szCs w:val="19"/>
              </w:rPr>
            </w:pPr>
            <w:r w:rsidRPr="00487CAB">
              <w:rPr>
                <w:snapToGrid w:val="0"/>
                <w:color w:val="000000"/>
                <w:sz w:val="19"/>
                <w:szCs w:val="19"/>
              </w:rPr>
              <w:tab/>
            </w:r>
          </w:p>
        </w:tc>
        <w:tc>
          <w:tcPr>
            <w:tcW w:w="1800" w:type="dxa"/>
          </w:tcPr>
          <w:p w14:paraId="033AE06C" w14:textId="77777777" w:rsidR="004F479E" w:rsidRPr="00487CAB" w:rsidRDefault="004F479E" w:rsidP="0043475C">
            <w:pPr>
              <w:tabs>
                <w:tab w:val="decimal" w:pos="1418"/>
                <w:tab w:val="right" w:pos="9180"/>
              </w:tabs>
              <w:rPr>
                <w:snapToGrid w:val="0"/>
                <w:color w:val="000000"/>
                <w:sz w:val="19"/>
                <w:szCs w:val="19"/>
              </w:rPr>
            </w:pPr>
            <w:r w:rsidRPr="00487CAB">
              <w:rPr>
                <w:snapToGrid w:val="0"/>
                <w:color w:val="000000"/>
                <w:sz w:val="19"/>
                <w:szCs w:val="19"/>
              </w:rPr>
              <w:tab/>
            </w:r>
          </w:p>
        </w:tc>
      </w:tr>
      <w:tr w:rsidR="004F479E" w:rsidRPr="00487CAB" w14:paraId="43DF9927" w14:textId="77777777" w:rsidTr="0043475C">
        <w:tc>
          <w:tcPr>
            <w:tcW w:w="4410" w:type="dxa"/>
          </w:tcPr>
          <w:p w14:paraId="5C3CAF47" w14:textId="77777777" w:rsidR="004F479E" w:rsidRPr="00487CAB" w:rsidRDefault="004F479E" w:rsidP="0043475C">
            <w:pPr>
              <w:tabs>
                <w:tab w:val="left" w:pos="144"/>
                <w:tab w:val="left" w:pos="324"/>
                <w:tab w:val="right" w:pos="9180"/>
              </w:tabs>
              <w:rPr>
                <w:snapToGrid w:val="0"/>
                <w:color w:val="000000"/>
                <w:sz w:val="19"/>
                <w:szCs w:val="19"/>
              </w:rPr>
            </w:pPr>
            <w:r w:rsidRPr="00487CAB">
              <w:rPr>
                <w:snapToGrid w:val="0"/>
                <w:color w:val="000000"/>
                <w:sz w:val="19"/>
                <w:szCs w:val="19"/>
              </w:rPr>
              <w:tab/>
            </w:r>
            <w:r w:rsidRPr="00487CAB">
              <w:rPr>
                <w:snapToGrid w:val="0"/>
                <w:color w:val="000000"/>
                <w:sz w:val="19"/>
                <w:szCs w:val="19"/>
              </w:rPr>
              <w:tab/>
              <w:t>for cash and cancellation of note payable</w:t>
            </w:r>
          </w:p>
        </w:tc>
        <w:tc>
          <w:tcPr>
            <w:tcW w:w="1260" w:type="dxa"/>
          </w:tcPr>
          <w:p w14:paraId="1F1D13B2" w14:textId="77777777" w:rsidR="004F479E" w:rsidRPr="00487CAB" w:rsidRDefault="004F479E" w:rsidP="0043475C">
            <w:pPr>
              <w:tabs>
                <w:tab w:val="decimal" w:pos="917"/>
                <w:tab w:val="left" w:pos="2340"/>
                <w:tab w:val="right" w:pos="9180"/>
              </w:tabs>
              <w:rPr>
                <w:snapToGrid w:val="0"/>
                <w:color w:val="000000"/>
                <w:sz w:val="19"/>
                <w:szCs w:val="19"/>
              </w:rPr>
            </w:pPr>
            <w:r w:rsidRPr="00487CAB">
              <w:rPr>
                <w:snapToGrid w:val="0"/>
                <w:color w:val="000000"/>
                <w:sz w:val="19"/>
                <w:szCs w:val="19"/>
              </w:rPr>
              <w:tab/>
              <w:t>500</w:t>
            </w:r>
          </w:p>
        </w:tc>
        <w:tc>
          <w:tcPr>
            <w:tcW w:w="1080" w:type="dxa"/>
          </w:tcPr>
          <w:p w14:paraId="39896736" w14:textId="77777777" w:rsidR="004F479E" w:rsidRPr="00487CAB" w:rsidRDefault="004F479E" w:rsidP="0043475C">
            <w:pPr>
              <w:tabs>
                <w:tab w:val="decimal" w:pos="798"/>
                <w:tab w:val="left" w:pos="2340"/>
                <w:tab w:val="right" w:pos="9180"/>
              </w:tabs>
              <w:rPr>
                <w:snapToGrid w:val="0"/>
                <w:color w:val="000000"/>
                <w:sz w:val="19"/>
                <w:szCs w:val="19"/>
              </w:rPr>
            </w:pPr>
            <w:r w:rsidRPr="00487CAB">
              <w:rPr>
                <w:snapToGrid w:val="0"/>
                <w:color w:val="000000"/>
                <w:sz w:val="19"/>
                <w:szCs w:val="19"/>
              </w:rPr>
              <w:tab/>
              <w:t>404,250</w:t>
            </w:r>
          </w:p>
        </w:tc>
        <w:tc>
          <w:tcPr>
            <w:tcW w:w="1080" w:type="dxa"/>
          </w:tcPr>
          <w:p w14:paraId="67494A65"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Pr>
          <w:p w14:paraId="01B80559"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0BB1D617"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85,750</w:t>
            </w:r>
          </w:p>
        </w:tc>
        <w:tc>
          <w:tcPr>
            <w:tcW w:w="1350" w:type="dxa"/>
          </w:tcPr>
          <w:p w14:paraId="406EF105" w14:textId="77777777" w:rsidR="004F479E" w:rsidRPr="00487CAB" w:rsidRDefault="004F479E" w:rsidP="0043475C">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7B213448" w14:textId="77777777" w:rsidR="004F479E" w:rsidRPr="00487CAB" w:rsidRDefault="004F479E" w:rsidP="0043475C">
            <w:pPr>
              <w:tabs>
                <w:tab w:val="decimal" w:pos="1418"/>
                <w:tab w:val="right" w:pos="9180"/>
              </w:tabs>
              <w:rPr>
                <w:snapToGrid w:val="0"/>
                <w:color w:val="000000"/>
                <w:sz w:val="19"/>
                <w:szCs w:val="19"/>
              </w:rPr>
            </w:pPr>
            <w:r w:rsidRPr="00487CAB">
              <w:rPr>
                <w:snapToGrid w:val="0"/>
                <w:color w:val="000000"/>
                <w:sz w:val="19"/>
                <w:szCs w:val="19"/>
              </w:rPr>
              <w:tab/>
              <w:t>490,000</w:t>
            </w:r>
          </w:p>
        </w:tc>
      </w:tr>
      <w:tr w:rsidR="004F479E" w:rsidRPr="00487CAB" w14:paraId="32FF8D84" w14:textId="77777777" w:rsidTr="0043475C">
        <w:tc>
          <w:tcPr>
            <w:tcW w:w="4410" w:type="dxa"/>
          </w:tcPr>
          <w:p w14:paraId="740355B1" w14:textId="77777777" w:rsidR="004F479E" w:rsidRPr="00487CAB" w:rsidRDefault="004F479E" w:rsidP="0043475C">
            <w:pPr>
              <w:tabs>
                <w:tab w:val="left" w:pos="144"/>
                <w:tab w:val="left" w:pos="324"/>
                <w:tab w:val="right" w:pos="9180"/>
              </w:tabs>
              <w:rPr>
                <w:snapToGrid w:val="0"/>
                <w:color w:val="000000"/>
                <w:sz w:val="19"/>
                <w:szCs w:val="19"/>
              </w:rPr>
            </w:pPr>
            <w:r w:rsidRPr="00487CAB">
              <w:rPr>
                <w:snapToGrid w:val="0"/>
                <w:color w:val="000000"/>
                <w:sz w:val="19"/>
                <w:szCs w:val="19"/>
              </w:rPr>
              <w:tab/>
              <w:t>Conversion of preferred stock to common stock</w:t>
            </w:r>
          </w:p>
        </w:tc>
        <w:tc>
          <w:tcPr>
            <w:tcW w:w="1260" w:type="dxa"/>
          </w:tcPr>
          <w:p w14:paraId="3EFB500D" w14:textId="77777777" w:rsidR="004F479E" w:rsidRPr="00487CAB" w:rsidRDefault="004F479E" w:rsidP="0043475C">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(767)</w:t>
            </w:r>
          </w:p>
        </w:tc>
        <w:tc>
          <w:tcPr>
            <w:tcW w:w="1080" w:type="dxa"/>
          </w:tcPr>
          <w:p w14:paraId="4A3ADA2A" w14:textId="77777777" w:rsidR="004F479E" w:rsidRPr="00487CAB" w:rsidRDefault="004F479E" w:rsidP="0043475C">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(303,475)</w:t>
            </w:r>
          </w:p>
        </w:tc>
        <w:tc>
          <w:tcPr>
            <w:tcW w:w="1080" w:type="dxa"/>
          </w:tcPr>
          <w:p w14:paraId="4ED0561F" w14:textId="592EE136"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3475C">
              <w:rPr>
                <w:snapToGrid w:val="0"/>
                <w:color w:val="000000"/>
                <w:sz w:val="19"/>
                <w:szCs w:val="19"/>
              </w:rPr>
              <w:t>59</w:t>
            </w:r>
          </w:p>
        </w:tc>
        <w:tc>
          <w:tcPr>
            <w:tcW w:w="1170" w:type="dxa"/>
          </w:tcPr>
          <w:p w14:paraId="2984CD70" w14:textId="5E841B86"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3475C">
              <w:rPr>
                <w:snapToGrid w:val="0"/>
                <w:color w:val="000000"/>
                <w:sz w:val="19"/>
                <w:szCs w:val="19"/>
              </w:rPr>
              <w:t>-</w:t>
            </w:r>
          </w:p>
        </w:tc>
        <w:tc>
          <w:tcPr>
            <w:tcW w:w="1440" w:type="dxa"/>
          </w:tcPr>
          <w:p w14:paraId="66CA03EC" w14:textId="400BFC55"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3475C">
              <w:rPr>
                <w:snapToGrid w:val="0"/>
                <w:color w:val="000000"/>
                <w:sz w:val="19"/>
                <w:szCs w:val="19"/>
              </w:rPr>
              <w:t>303,475</w:t>
            </w:r>
          </w:p>
        </w:tc>
        <w:tc>
          <w:tcPr>
            <w:tcW w:w="1350" w:type="dxa"/>
          </w:tcPr>
          <w:p w14:paraId="6F056473" w14:textId="77777777" w:rsidR="004F479E" w:rsidRPr="00487CAB" w:rsidRDefault="004F479E" w:rsidP="0043475C">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3CEB8950" w14:textId="77777777" w:rsidR="004F479E" w:rsidRPr="00487CAB" w:rsidRDefault="004F479E" w:rsidP="0043475C">
            <w:pPr>
              <w:tabs>
                <w:tab w:val="decimal" w:pos="1418"/>
                <w:tab w:val="right" w:pos="9180"/>
              </w:tabs>
              <w:rPr>
                <w:snapToGrid w:val="0"/>
                <w:color w:val="000000"/>
                <w:sz w:val="19"/>
                <w:szCs w:val="19"/>
              </w:rPr>
            </w:pPr>
            <w:r w:rsidRPr="00487CAB">
              <w:rPr>
                <w:snapToGrid w:val="0"/>
                <w:color w:val="000000"/>
                <w:sz w:val="19"/>
                <w:szCs w:val="19"/>
              </w:rPr>
              <w:tab/>
              <w:t>-</w:t>
            </w:r>
          </w:p>
        </w:tc>
      </w:tr>
      <w:tr w:rsidR="004F479E" w:rsidRPr="00487CAB" w14:paraId="47F38BFA" w14:textId="77777777" w:rsidTr="0043475C">
        <w:tc>
          <w:tcPr>
            <w:tcW w:w="4410" w:type="dxa"/>
          </w:tcPr>
          <w:p w14:paraId="341BC068" w14:textId="5267DC53" w:rsidR="004F479E" w:rsidRPr="00487CAB" w:rsidRDefault="004F479E" w:rsidP="0043475C">
            <w:pPr>
              <w:tabs>
                <w:tab w:val="left" w:pos="144"/>
                <w:tab w:val="left" w:pos="324"/>
                <w:tab w:val="right" w:pos="9180"/>
              </w:tabs>
              <w:rPr>
                <w:snapToGrid w:val="0"/>
                <w:color w:val="000000"/>
                <w:sz w:val="19"/>
                <w:szCs w:val="19"/>
              </w:rPr>
            </w:pPr>
            <w:r w:rsidRPr="00487CAB">
              <w:rPr>
                <w:snapToGrid w:val="0"/>
                <w:color w:val="000000"/>
                <w:sz w:val="19"/>
                <w:szCs w:val="19"/>
              </w:rPr>
              <w:tab/>
              <w:t>Stock</w:t>
            </w:r>
            <w:r w:rsidR="00875F81">
              <w:rPr>
                <w:snapToGrid w:val="0"/>
                <w:color w:val="000000"/>
                <w:sz w:val="19"/>
                <w:szCs w:val="19"/>
              </w:rPr>
              <w:t xml:space="preserve">-based compensation </w:t>
            </w:r>
            <w:r w:rsidRPr="00487CAB">
              <w:rPr>
                <w:snapToGrid w:val="0"/>
                <w:color w:val="000000"/>
                <w:sz w:val="19"/>
                <w:szCs w:val="19"/>
              </w:rPr>
              <w:t>expense</w:t>
            </w:r>
          </w:p>
        </w:tc>
        <w:tc>
          <w:tcPr>
            <w:tcW w:w="1260" w:type="dxa"/>
          </w:tcPr>
          <w:p w14:paraId="27B113D3" w14:textId="77777777" w:rsidR="004F479E" w:rsidRPr="00487CAB" w:rsidRDefault="004F479E" w:rsidP="0043475C">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4F52486A" w14:textId="77777777" w:rsidR="004F479E" w:rsidRPr="00487CAB" w:rsidRDefault="004F479E" w:rsidP="0043475C">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22B0DE48"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Pr>
          <w:p w14:paraId="764C267A"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626D0A9B"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26,652</w:t>
            </w:r>
          </w:p>
        </w:tc>
        <w:tc>
          <w:tcPr>
            <w:tcW w:w="1350" w:type="dxa"/>
          </w:tcPr>
          <w:p w14:paraId="0C3CD8EB" w14:textId="77777777" w:rsidR="004F479E" w:rsidRPr="00487CAB" w:rsidRDefault="004F479E" w:rsidP="0043475C">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155A6579" w14:textId="77777777" w:rsidR="004F479E" w:rsidRPr="00487CAB" w:rsidRDefault="004F479E" w:rsidP="0043475C">
            <w:pPr>
              <w:tabs>
                <w:tab w:val="decimal" w:pos="1418"/>
                <w:tab w:val="right" w:pos="9180"/>
              </w:tabs>
              <w:rPr>
                <w:snapToGrid w:val="0"/>
                <w:color w:val="000000"/>
                <w:sz w:val="19"/>
                <w:szCs w:val="19"/>
              </w:rPr>
            </w:pPr>
            <w:r w:rsidRPr="00487CAB">
              <w:rPr>
                <w:snapToGrid w:val="0"/>
                <w:color w:val="000000"/>
                <w:sz w:val="19"/>
                <w:szCs w:val="19"/>
              </w:rPr>
              <w:tab/>
              <w:t>26,652</w:t>
            </w:r>
          </w:p>
        </w:tc>
      </w:tr>
      <w:tr w:rsidR="004F479E" w:rsidRPr="00487CAB" w14:paraId="2DD4593D" w14:textId="77777777" w:rsidTr="0043475C">
        <w:tc>
          <w:tcPr>
            <w:tcW w:w="4410" w:type="dxa"/>
          </w:tcPr>
          <w:p w14:paraId="654DD86D" w14:textId="77777777" w:rsidR="004F479E" w:rsidRPr="00487CAB" w:rsidRDefault="004F479E" w:rsidP="0043475C">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2019</w:t>
            </w:r>
          </w:p>
        </w:tc>
        <w:tc>
          <w:tcPr>
            <w:tcW w:w="1260" w:type="dxa"/>
            <w:tcBorders>
              <w:bottom w:val="single" w:sz="4" w:space="0" w:color="auto"/>
            </w:tcBorders>
          </w:tcPr>
          <w:p w14:paraId="7674A8EF" w14:textId="77777777" w:rsidR="004F479E" w:rsidRPr="00487CAB" w:rsidRDefault="004F479E" w:rsidP="0043475C">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7481C2C5" w14:textId="77777777" w:rsidR="004F479E" w:rsidRPr="00487CAB" w:rsidRDefault="004F479E" w:rsidP="0043475C">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3119F9C7"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C9004A9"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4C0F982B"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0D4D7C1F" w14:textId="77777777" w:rsidR="004F479E" w:rsidRPr="00487CAB" w:rsidRDefault="004F479E" w:rsidP="0043475C">
            <w:pPr>
              <w:tabs>
                <w:tab w:val="decimal" w:pos="1150"/>
                <w:tab w:val="left" w:pos="2340"/>
                <w:tab w:val="right" w:pos="9180"/>
              </w:tabs>
              <w:rPr>
                <w:snapToGrid w:val="0"/>
                <w:color w:val="000000"/>
                <w:sz w:val="19"/>
                <w:szCs w:val="19"/>
              </w:rPr>
            </w:pPr>
            <w:r w:rsidRPr="00487CAB">
              <w:rPr>
                <w:snapToGrid w:val="0"/>
                <w:color w:val="000000"/>
                <w:sz w:val="19"/>
                <w:szCs w:val="19"/>
              </w:rPr>
              <w:tab/>
              <w:t>(701,454)</w:t>
            </w:r>
          </w:p>
        </w:tc>
        <w:tc>
          <w:tcPr>
            <w:tcW w:w="1800" w:type="dxa"/>
            <w:tcBorders>
              <w:bottom w:val="single" w:sz="4" w:space="0" w:color="auto"/>
            </w:tcBorders>
          </w:tcPr>
          <w:p w14:paraId="709F6436" w14:textId="77777777" w:rsidR="004F479E" w:rsidRPr="00487CAB" w:rsidRDefault="004F479E" w:rsidP="0043475C">
            <w:pPr>
              <w:tabs>
                <w:tab w:val="decimal" w:pos="1418"/>
                <w:tab w:val="right" w:pos="9180"/>
              </w:tabs>
              <w:rPr>
                <w:snapToGrid w:val="0"/>
                <w:color w:val="000000"/>
                <w:sz w:val="19"/>
                <w:szCs w:val="19"/>
              </w:rPr>
            </w:pPr>
            <w:r w:rsidRPr="00487CAB">
              <w:rPr>
                <w:snapToGrid w:val="0"/>
                <w:color w:val="000000"/>
                <w:sz w:val="19"/>
                <w:szCs w:val="19"/>
              </w:rPr>
              <w:tab/>
              <w:t>(701,454)</w:t>
            </w:r>
          </w:p>
        </w:tc>
      </w:tr>
      <w:tr w:rsidR="004F479E" w:rsidRPr="00487CAB" w14:paraId="4BD07A1C" w14:textId="77777777" w:rsidTr="0043475C">
        <w:tc>
          <w:tcPr>
            <w:tcW w:w="4410" w:type="dxa"/>
          </w:tcPr>
          <w:p w14:paraId="4670491C" w14:textId="77777777" w:rsidR="004F479E" w:rsidRPr="00487CAB" w:rsidRDefault="004F479E" w:rsidP="0043475C">
            <w:pPr>
              <w:tabs>
                <w:tab w:val="left" w:pos="144"/>
                <w:tab w:val="left" w:pos="324"/>
                <w:tab w:val="right" w:pos="9180"/>
              </w:tabs>
              <w:rPr>
                <w:snapToGrid w:val="0"/>
                <w:color w:val="000000"/>
                <w:sz w:val="19"/>
                <w:szCs w:val="19"/>
              </w:rPr>
            </w:pPr>
            <w:r w:rsidRPr="00487CAB">
              <w:rPr>
                <w:snapToGrid w:val="0"/>
                <w:color w:val="000000"/>
                <w:sz w:val="19"/>
                <w:szCs w:val="19"/>
              </w:rPr>
              <w:t>Balance at March 31, 2019</w:t>
            </w:r>
          </w:p>
        </w:tc>
        <w:tc>
          <w:tcPr>
            <w:tcW w:w="1260" w:type="dxa"/>
            <w:tcBorders>
              <w:top w:val="single" w:sz="4" w:space="0" w:color="auto"/>
              <w:bottom w:val="double" w:sz="4" w:space="0" w:color="auto"/>
            </w:tcBorders>
          </w:tcPr>
          <w:p w14:paraId="5CB189BE" w14:textId="77777777" w:rsidR="004F479E" w:rsidRPr="00487CAB" w:rsidRDefault="004F479E" w:rsidP="0043475C">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3,183</w:t>
            </w:r>
          </w:p>
        </w:tc>
        <w:tc>
          <w:tcPr>
            <w:tcW w:w="1080" w:type="dxa"/>
            <w:tcBorders>
              <w:top w:val="single" w:sz="4" w:space="0" w:color="auto"/>
              <w:bottom w:val="double" w:sz="4" w:space="0" w:color="auto"/>
            </w:tcBorders>
          </w:tcPr>
          <w:p w14:paraId="21FE1E4F" w14:textId="77777777" w:rsidR="004F479E" w:rsidRPr="00487CAB" w:rsidRDefault="004F479E" w:rsidP="0043475C">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2,072,108</w:t>
            </w:r>
          </w:p>
        </w:tc>
        <w:tc>
          <w:tcPr>
            <w:tcW w:w="1080" w:type="dxa"/>
            <w:tcBorders>
              <w:top w:val="single" w:sz="4" w:space="0" w:color="auto"/>
              <w:bottom w:val="double" w:sz="4" w:space="0" w:color="auto"/>
            </w:tcBorders>
          </w:tcPr>
          <w:p w14:paraId="2CDD7FD6" w14:textId="69861557" w:rsidR="004F479E" w:rsidRPr="00487CAB" w:rsidRDefault="004F479E" w:rsidP="0043475C">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3475C">
              <w:rPr>
                <w:snapToGrid w:val="0"/>
                <w:color w:val="000000"/>
                <w:sz w:val="19"/>
                <w:szCs w:val="19"/>
              </w:rPr>
              <w:t>278</w:t>
            </w:r>
          </w:p>
        </w:tc>
        <w:tc>
          <w:tcPr>
            <w:tcW w:w="1170" w:type="dxa"/>
            <w:tcBorders>
              <w:top w:val="single" w:sz="4" w:space="0" w:color="auto"/>
              <w:bottom w:val="double" w:sz="4" w:space="0" w:color="auto"/>
            </w:tcBorders>
          </w:tcPr>
          <w:p w14:paraId="487E04FD" w14:textId="1DA900B0" w:rsidR="004F479E" w:rsidRPr="00487CAB" w:rsidRDefault="004F479E" w:rsidP="0043475C">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43475C">
              <w:rPr>
                <w:snapToGrid w:val="0"/>
                <w:color w:val="000000"/>
                <w:sz w:val="19"/>
                <w:szCs w:val="19"/>
              </w:rPr>
              <w:t>-</w:t>
            </w:r>
          </w:p>
        </w:tc>
        <w:tc>
          <w:tcPr>
            <w:tcW w:w="1440" w:type="dxa"/>
            <w:tcBorders>
              <w:top w:val="single" w:sz="4" w:space="0" w:color="auto"/>
              <w:bottom w:val="double" w:sz="4" w:space="0" w:color="auto"/>
            </w:tcBorders>
          </w:tcPr>
          <w:p w14:paraId="25924C5B" w14:textId="447E0E2B" w:rsidR="004F479E" w:rsidRPr="00487CAB" w:rsidRDefault="004F479E" w:rsidP="0043475C">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t>37,</w:t>
            </w:r>
            <w:r w:rsidR="0043475C">
              <w:rPr>
                <w:snapToGrid w:val="0"/>
                <w:color w:val="000000"/>
                <w:sz w:val="19"/>
                <w:szCs w:val="19"/>
              </w:rPr>
              <w:t>899,081</w:t>
            </w:r>
          </w:p>
        </w:tc>
        <w:tc>
          <w:tcPr>
            <w:tcW w:w="1350" w:type="dxa"/>
            <w:tcBorders>
              <w:top w:val="single" w:sz="4" w:space="0" w:color="auto"/>
              <w:bottom w:val="double" w:sz="4" w:space="0" w:color="auto"/>
            </w:tcBorders>
          </w:tcPr>
          <w:p w14:paraId="78880EDB" w14:textId="77777777" w:rsidR="004F479E" w:rsidRPr="00487CAB" w:rsidRDefault="004F479E" w:rsidP="0043475C">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t>(41,178,338)</w:t>
            </w:r>
          </w:p>
        </w:tc>
        <w:tc>
          <w:tcPr>
            <w:tcW w:w="1800" w:type="dxa"/>
            <w:tcBorders>
              <w:top w:val="single" w:sz="4" w:space="0" w:color="auto"/>
              <w:bottom w:val="double" w:sz="4" w:space="0" w:color="auto"/>
            </w:tcBorders>
          </w:tcPr>
          <w:p w14:paraId="16AED28F" w14:textId="77777777" w:rsidR="004F479E" w:rsidRPr="00487CAB" w:rsidRDefault="004F479E" w:rsidP="0043475C">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t>(1,207,149)</w:t>
            </w:r>
          </w:p>
        </w:tc>
      </w:tr>
      <w:tr w:rsidR="004F479E" w:rsidRPr="00487CAB" w14:paraId="5B630E14" w14:textId="77777777" w:rsidTr="0043475C">
        <w:tc>
          <w:tcPr>
            <w:tcW w:w="4410" w:type="dxa"/>
          </w:tcPr>
          <w:p w14:paraId="17E96CED" w14:textId="77777777" w:rsidR="004F479E" w:rsidRPr="00487CAB" w:rsidRDefault="004F479E" w:rsidP="0043475C">
            <w:pPr>
              <w:tabs>
                <w:tab w:val="left" w:pos="144"/>
                <w:tab w:val="left" w:pos="324"/>
                <w:tab w:val="right" w:pos="9180"/>
              </w:tabs>
              <w:rPr>
                <w:snapToGrid w:val="0"/>
                <w:color w:val="000000"/>
                <w:sz w:val="19"/>
                <w:szCs w:val="19"/>
              </w:rPr>
            </w:pPr>
          </w:p>
        </w:tc>
        <w:tc>
          <w:tcPr>
            <w:tcW w:w="1260" w:type="dxa"/>
          </w:tcPr>
          <w:p w14:paraId="71047106" w14:textId="77777777" w:rsidR="004F479E" w:rsidRPr="00487CAB" w:rsidRDefault="004F479E" w:rsidP="0043475C">
            <w:pPr>
              <w:tabs>
                <w:tab w:val="decimal" w:pos="917"/>
                <w:tab w:val="left" w:pos="2340"/>
                <w:tab w:val="right" w:pos="9180"/>
              </w:tabs>
              <w:rPr>
                <w:snapToGrid w:val="0"/>
                <w:color w:val="000000"/>
                <w:sz w:val="19"/>
                <w:szCs w:val="19"/>
              </w:rPr>
            </w:pPr>
          </w:p>
        </w:tc>
        <w:tc>
          <w:tcPr>
            <w:tcW w:w="1080" w:type="dxa"/>
          </w:tcPr>
          <w:p w14:paraId="5270E478" w14:textId="77777777" w:rsidR="004F479E" w:rsidRPr="00487CAB" w:rsidRDefault="004F479E" w:rsidP="0043475C">
            <w:pPr>
              <w:tabs>
                <w:tab w:val="decimal" w:pos="798"/>
                <w:tab w:val="left" w:pos="2340"/>
                <w:tab w:val="right" w:pos="9180"/>
              </w:tabs>
              <w:rPr>
                <w:snapToGrid w:val="0"/>
                <w:color w:val="000000"/>
                <w:sz w:val="19"/>
                <w:szCs w:val="19"/>
              </w:rPr>
            </w:pPr>
          </w:p>
        </w:tc>
        <w:tc>
          <w:tcPr>
            <w:tcW w:w="1080" w:type="dxa"/>
          </w:tcPr>
          <w:p w14:paraId="4FF9C202"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p>
        </w:tc>
        <w:tc>
          <w:tcPr>
            <w:tcW w:w="1170" w:type="dxa"/>
          </w:tcPr>
          <w:p w14:paraId="3B94AE94"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p>
        </w:tc>
        <w:tc>
          <w:tcPr>
            <w:tcW w:w="1440" w:type="dxa"/>
          </w:tcPr>
          <w:p w14:paraId="51FA342A"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p>
        </w:tc>
        <w:tc>
          <w:tcPr>
            <w:tcW w:w="1350" w:type="dxa"/>
          </w:tcPr>
          <w:p w14:paraId="06B00548" w14:textId="77777777" w:rsidR="004F479E" w:rsidRPr="00487CAB" w:rsidRDefault="004F479E" w:rsidP="0043475C">
            <w:pPr>
              <w:tabs>
                <w:tab w:val="decimal" w:pos="1150"/>
                <w:tab w:val="left" w:pos="2340"/>
                <w:tab w:val="right" w:pos="9180"/>
              </w:tabs>
              <w:rPr>
                <w:snapToGrid w:val="0"/>
                <w:color w:val="000000"/>
                <w:sz w:val="19"/>
                <w:szCs w:val="19"/>
              </w:rPr>
            </w:pPr>
          </w:p>
        </w:tc>
        <w:tc>
          <w:tcPr>
            <w:tcW w:w="1800" w:type="dxa"/>
          </w:tcPr>
          <w:p w14:paraId="29C73C5A" w14:textId="77777777" w:rsidR="004F479E" w:rsidRPr="00487CAB" w:rsidRDefault="004F479E" w:rsidP="0043475C">
            <w:pPr>
              <w:tabs>
                <w:tab w:val="decimal" w:pos="1418"/>
                <w:tab w:val="right" w:pos="9180"/>
              </w:tabs>
              <w:rPr>
                <w:snapToGrid w:val="0"/>
                <w:color w:val="000000"/>
                <w:sz w:val="19"/>
                <w:szCs w:val="19"/>
              </w:rPr>
            </w:pPr>
          </w:p>
        </w:tc>
      </w:tr>
      <w:tr w:rsidR="004F479E" w:rsidRPr="00487CAB" w14:paraId="2CD4DFB5" w14:textId="77777777" w:rsidTr="0043475C">
        <w:tc>
          <w:tcPr>
            <w:tcW w:w="4410" w:type="dxa"/>
          </w:tcPr>
          <w:p w14:paraId="021FF6C0" w14:textId="77777777" w:rsidR="004F479E" w:rsidRPr="00487CAB" w:rsidRDefault="004F479E" w:rsidP="0043475C">
            <w:pPr>
              <w:tabs>
                <w:tab w:val="left" w:pos="144"/>
                <w:tab w:val="left" w:pos="324"/>
                <w:tab w:val="right" w:pos="9180"/>
              </w:tabs>
              <w:rPr>
                <w:snapToGrid w:val="0"/>
                <w:color w:val="000000"/>
                <w:sz w:val="19"/>
                <w:szCs w:val="19"/>
              </w:rPr>
            </w:pPr>
          </w:p>
        </w:tc>
        <w:tc>
          <w:tcPr>
            <w:tcW w:w="1260" w:type="dxa"/>
          </w:tcPr>
          <w:p w14:paraId="1F49E34B" w14:textId="77777777" w:rsidR="004F479E" w:rsidRPr="00487CAB" w:rsidRDefault="004F479E" w:rsidP="0043475C">
            <w:pPr>
              <w:tabs>
                <w:tab w:val="decimal" w:pos="917"/>
                <w:tab w:val="left" w:pos="2340"/>
                <w:tab w:val="right" w:pos="9180"/>
              </w:tabs>
              <w:rPr>
                <w:snapToGrid w:val="0"/>
                <w:color w:val="000000"/>
                <w:sz w:val="19"/>
                <w:szCs w:val="19"/>
              </w:rPr>
            </w:pPr>
          </w:p>
        </w:tc>
        <w:tc>
          <w:tcPr>
            <w:tcW w:w="1080" w:type="dxa"/>
          </w:tcPr>
          <w:p w14:paraId="70A168EC" w14:textId="77777777" w:rsidR="004F479E" w:rsidRPr="00487CAB" w:rsidRDefault="004F479E" w:rsidP="0043475C">
            <w:pPr>
              <w:tabs>
                <w:tab w:val="decimal" w:pos="798"/>
                <w:tab w:val="left" w:pos="2340"/>
                <w:tab w:val="right" w:pos="9180"/>
              </w:tabs>
              <w:rPr>
                <w:snapToGrid w:val="0"/>
                <w:color w:val="000000"/>
                <w:sz w:val="19"/>
                <w:szCs w:val="19"/>
              </w:rPr>
            </w:pPr>
          </w:p>
        </w:tc>
        <w:tc>
          <w:tcPr>
            <w:tcW w:w="1080" w:type="dxa"/>
          </w:tcPr>
          <w:p w14:paraId="7B430ACF"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p>
        </w:tc>
        <w:tc>
          <w:tcPr>
            <w:tcW w:w="1170" w:type="dxa"/>
          </w:tcPr>
          <w:p w14:paraId="5602A8C0"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p>
        </w:tc>
        <w:tc>
          <w:tcPr>
            <w:tcW w:w="1440" w:type="dxa"/>
          </w:tcPr>
          <w:p w14:paraId="3F10A9D6" w14:textId="77777777" w:rsidR="004F479E" w:rsidRPr="00487CAB" w:rsidRDefault="004F479E" w:rsidP="0043475C">
            <w:pPr>
              <w:tabs>
                <w:tab w:val="decimal" w:pos="1148"/>
                <w:tab w:val="decimal" w:pos="1422"/>
                <w:tab w:val="left" w:pos="2340"/>
                <w:tab w:val="right" w:pos="9180"/>
              </w:tabs>
              <w:rPr>
                <w:snapToGrid w:val="0"/>
                <w:color w:val="000000"/>
                <w:sz w:val="19"/>
                <w:szCs w:val="19"/>
              </w:rPr>
            </w:pPr>
          </w:p>
        </w:tc>
        <w:tc>
          <w:tcPr>
            <w:tcW w:w="1350" w:type="dxa"/>
          </w:tcPr>
          <w:p w14:paraId="7D5059A5" w14:textId="77777777" w:rsidR="004F479E" w:rsidRPr="00487CAB" w:rsidRDefault="004F479E" w:rsidP="0043475C">
            <w:pPr>
              <w:tabs>
                <w:tab w:val="decimal" w:pos="1150"/>
                <w:tab w:val="left" w:pos="2340"/>
                <w:tab w:val="right" w:pos="9180"/>
              </w:tabs>
              <w:rPr>
                <w:snapToGrid w:val="0"/>
                <w:color w:val="000000"/>
                <w:sz w:val="19"/>
                <w:szCs w:val="19"/>
              </w:rPr>
            </w:pPr>
          </w:p>
        </w:tc>
        <w:tc>
          <w:tcPr>
            <w:tcW w:w="1800" w:type="dxa"/>
          </w:tcPr>
          <w:p w14:paraId="0E8C0628" w14:textId="77777777" w:rsidR="004F479E" w:rsidRPr="00487CAB" w:rsidRDefault="004F479E" w:rsidP="0043475C">
            <w:pPr>
              <w:tabs>
                <w:tab w:val="decimal" w:pos="1418"/>
                <w:tab w:val="right" w:pos="9180"/>
              </w:tabs>
              <w:rPr>
                <w:snapToGrid w:val="0"/>
                <w:color w:val="000000"/>
                <w:sz w:val="19"/>
                <w:szCs w:val="19"/>
              </w:rPr>
            </w:pPr>
          </w:p>
        </w:tc>
      </w:tr>
    </w:tbl>
    <w:p w14:paraId="43CFD95B" w14:textId="17D2441D" w:rsidR="004F479E" w:rsidRDefault="004F479E" w:rsidP="00487CAB">
      <w:pPr>
        <w:tabs>
          <w:tab w:val="decimal" w:pos="1152"/>
          <w:tab w:val="left" w:pos="2340"/>
          <w:tab w:val="right" w:pos="9180"/>
        </w:tabs>
        <w:rPr>
          <w:snapToGrid w:val="0"/>
          <w:color w:val="000000"/>
        </w:rPr>
      </w:pPr>
    </w:p>
    <w:p w14:paraId="788BCE05" w14:textId="266B8C94" w:rsidR="004F479E" w:rsidRDefault="004F479E" w:rsidP="00487CAB">
      <w:pPr>
        <w:tabs>
          <w:tab w:val="decimal" w:pos="1152"/>
          <w:tab w:val="left" w:pos="2340"/>
          <w:tab w:val="right" w:pos="9180"/>
        </w:tabs>
        <w:rPr>
          <w:snapToGrid w:val="0"/>
          <w:color w:val="000000"/>
        </w:rPr>
      </w:pPr>
    </w:p>
    <w:p w14:paraId="06FCDFDD" w14:textId="2E24C973" w:rsidR="004F479E" w:rsidRDefault="004F479E" w:rsidP="00487CAB">
      <w:pPr>
        <w:tabs>
          <w:tab w:val="decimal" w:pos="1152"/>
          <w:tab w:val="left" w:pos="2340"/>
          <w:tab w:val="right" w:pos="9180"/>
        </w:tabs>
        <w:rPr>
          <w:snapToGrid w:val="0"/>
          <w:color w:val="000000"/>
        </w:rPr>
      </w:pPr>
    </w:p>
    <w:p w14:paraId="5451020A" w14:textId="42C81B7D" w:rsidR="004F479E" w:rsidRDefault="004F479E" w:rsidP="00487CAB">
      <w:pPr>
        <w:tabs>
          <w:tab w:val="decimal" w:pos="1152"/>
          <w:tab w:val="left" w:pos="2340"/>
          <w:tab w:val="right" w:pos="9180"/>
        </w:tabs>
        <w:rPr>
          <w:snapToGrid w:val="0"/>
          <w:color w:val="000000"/>
        </w:rPr>
      </w:pPr>
    </w:p>
    <w:p w14:paraId="11D36CCB" w14:textId="77016E2D" w:rsidR="004F479E" w:rsidRDefault="004F479E" w:rsidP="00487CAB">
      <w:pPr>
        <w:tabs>
          <w:tab w:val="decimal" w:pos="1152"/>
          <w:tab w:val="left" w:pos="2340"/>
          <w:tab w:val="right" w:pos="9180"/>
        </w:tabs>
        <w:rPr>
          <w:snapToGrid w:val="0"/>
          <w:color w:val="000000"/>
        </w:rPr>
      </w:pPr>
    </w:p>
    <w:p w14:paraId="0CECAAAA" w14:textId="6E5BE80A" w:rsidR="004F479E" w:rsidRDefault="004F479E" w:rsidP="00487CAB">
      <w:pPr>
        <w:tabs>
          <w:tab w:val="decimal" w:pos="1152"/>
          <w:tab w:val="left" w:pos="2340"/>
          <w:tab w:val="right" w:pos="9180"/>
        </w:tabs>
        <w:rPr>
          <w:snapToGrid w:val="0"/>
          <w:color w:val="000000"/>
        </w:rPr>
      </w:pPr>
    </w:p>
    <w:p w14:paraId="56E1AEE2" w14:textId="2AFEF9A2" w:rsidR="004F479E" w:rsidRDefault="004F479E" w:rsidP="00487CAB">
      <w:pPr>
        <w:tabs>
          <w:tab w:val="decimal" w:pos="1152"/>
          <w:tab w:val="left" w:pos="2340"/>
          <w:tab w:val="right" w:pos="9180"/>
        </w:tabs>
        <w:rPr>
          <w:snapToGrid w:val="0"/>
          <w:color w:val="000000"/>
        </w:rPr>
      </w:pPr>
    </w:p>
    <w:p w14:paraId="12BB740D" w14:textId="77777777" w:rsidR="004F479E" w:rsidRPr="00487CAB" w:rsidRDefault="004F479E" w:rsidP="00487CAB">
      <w:pPr>
        <w:tabs>
          <w:tab w:val="decimal" w:pos="1152"/>
          <w:tab w:val="left" w:pos="2340"/>
          <w:tab w:val="right" w:pos="9180"/>
        </w:tabs>
        <w:rPr>
          <w:snapToGrid w:val="0"/>
          <w:color w:val="000000"/>
        </w:rPr>
      </w:pPr>
    </w:p>
    <w:p w14:paraId="508A2F73" w14:textId="4730DA1D" w:rsidR="006E7CF8" w:rsidRDefault="00487CAB" w:rsidP="006C1B86">
      <w:pPr>
        <w:tabs>
          <w:tab w:val="left" w:pos="1080"/>
          <w:tab w:val="left" w:pos="1260"/>
          <w:tab w:val="left" w:pos="2340"/>
          <w:tab w:val="right" w:pos="9180"/>
        </w:tabs>
        <w:ind w:right="-360"/>
        <w:jc w:val="center"/>
      </w:pPr>
      <w:r w:rsidRPr="00487CAB">
        <w:rPr>
          <w:snapToGrid w:val="0"/>
          <w:color w:val="000000"/>
        </w:rPr>
        <w:t>See accompanying notes to 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4117942A" w:rsidR="002D627A" w:rsidRPr="000D3DC5" w:rsidRDefault="006E7CF8" w:rsidP="00FD4723">
            <w:pPr>
              <w:tabs>
                <w:tab w:val="decimal" w:pos="1044"/>
                <w:tab w:val="right" w:pos="9180"/>
              </w:tabs>
              <w:ind w:right="-18"/>
              <w:jc w:val="center"/>
            </w:pPr>
            <w:r>
              <w:t>Three</w:t>
            </w:r>
            <w:r w:rsidR="002D627A">
              <w:t xml:space="preserve"> Months Ended </w:t>
            </w:r>
            <w:r>
              <w:t>March 31</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13BC391A" w:rsidR="002D627A" w:rsidRPr="000D3DC5" w:rsidRDefault="002D627A" w:rsidP="002D627A">
            <w:pPr>
              <w:tabs>
                <w:tab w:val="decimal" w:pos="1044"/>
                <w:tab w:val="decimal" w:pos="1332"/>
                <w:tab w:val="right" w:pos="9180"/>
              </w:tabs>
              <w:jc w:val="center"/>
            </w:pPr>
            <w:r>
              <w:t>20</w:t>
            </w:r>
            <w:r w:rsidR="00587925">
              <w:t>20</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42B524A2" w:rsidR="002D627A" w:rsidRPr="000D3DC5" w:rsidRDefault="002D627A" w:rsidP="002D627A">
            <w:pPr>
              <w:tabs>
                <w:tab w:val="decimal" w:pos="1044"/>
                <w:tab w:val="right" w:pos="9180"/>
              </w:tabs>
              <w:ind w:right="-18"/>
              <w:jc w:val="center"/>
            </w:pPr>
            <w:r>
              <w:t>201</w:t>
            </w:r>
            <w:r w:rsidR="00587925">
              <w:t>9</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410F126D" w:rsidR="002D627A" w:rsidRPr="000D3DC5" w:rsidRDefault="002D627A" w:rsidP="00FD4723">
            <w:pPr>
              <w:tabs>
                <w:tab w:val="decimal" w:pos="1332"/>
                <w:tab w:val="right" w:pos="9180"/>
              </w:tabs>
            </w:pPr>
            <w:r w:rsidRPr="000D3DC5">
              <w:t>$</w:t>
            </w:r>
            <w:r w:rsidRPr="000D3DC5">
              <w:tab/>
            </w:r>
            <w:r w:rsidR="00E53694">
              <w:t>(595,694)</w:t>
            </w:r>
          </w:p>
        </w:tc>
        <w:tc>
          <w:tcPr>
            <w:tcW w:w="360" w:type="dxa"/>
          </w:tcPr>
          <w:p w14:paraId="57942AE3" w14:textId="77777777" w:rsidR="002D627A" w:rsidRPr="000D3DC5" w:rsidRDefault="002D627A" w:rsidP="002D627A">
            <w:pPr>
              <w:tabs>
                <w:tab w:val="right" w:pos="9180"/>
              </w:tabs>
            </w:pPr>
          </w:p>
        </w:tc>
        <w:tc>
          <w:tcPr>
            <w:tcW w:w="1620" w:type="dxa"/>
          </w:tcPr>
          <w:p w14:paraId="6A3E34C2" w14:textId="5FB752ED" w:rsidR="002D627A" w:rsidRPr="000D3DC5" w:rsidRDefault="006E7CF8" w:rsidP="002D627A">
            <w:pPr>
              <w:tabs>
                <w:tab w:val="decimal" w:pos="1152"/>
                <w:tab w:val="right" w:pos="9180"/>
              </w:tabs>
            </w:pPr>
            <w:r>
              <w:t>$</w:t>
            </w:r>
            <w:r>
              <w:tab/>
              <w:t>(</w:t>
            </w:r>
            <w:r w:rsidR="00587925">
              <w:t>701,454</w:t>
            </w:r>
            <w:r>
              <w:t>)</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77777777" w:rsidR="002D627A" w:rsidRPr="000D3DC5" w:rsidRDefault="002D627A" w:rsidP="002D627A">
            <w:r w:rsidRPr="000D3DC5">
              <w:t>Depreciation and amortization</w:t>
            </w:r>
          </w:p>
        </w:tc>
        <w:tc>
          <w:tcPr>
            <w:tcW w:w="1555" w:type="dxa"/>
          </w:tcPr>
          <w:p w14:paraId="19B164C5" w14:textId="77777777" w:rsidR="002D627A" w:rsidRPr="000D3DC5" w:rsidRDefault="002D627A" w:rsidP="002D627A">
            <w:pPr>
              <w:tabs>
                <w:tab w:val="right" w:pos="9180"/>
              </w:tabs>
            </w:pPr>
          </w:p>
        </w:tc>
        <w:tc>
          <w:tcPr>
            <w:tcW w:w="1800" w:type="dxa"/>
          </w:tcPr>
          <w:p w14:paraId="45738E17" w14:textId="17EF2748" w:rsidR="002D627A" w:rsidRPr="000D3DC5" w:rsidRDefault="00767AC2" w:rsidP="002D627A">
            <w:pPr>
              <w:tabs>
                <w:tab w:val="decimal" w:pos="1332"/>
                <w:tab w:val="right" w:pos="9180"/>
              </w:tabs>
            </w:pPr>
            <w:r>
              <w:tab/>
            </w:r>
            <w:r w:rsidR="00E53694">
              <w:t>994</w:t>
            </w:r>
          </w:p>
        </w:tc>
        <w:tc>
          <w:tcPr>
            <w:tcW w:w="360" w:type="dxa"/>
          </w:tcPr>
          <w:p w14:paraId="7D1EEEDB" w14:textId="77777777" w:rsidR="002D627A" w:rsidRPr="000D3DC5" w:rsidRDefault="002D627A" w:rsidP="002D627A">
            <w:pPr>
              <w:tabs>
                <w:tab w:val="right" w:pos="9180"/>
              </w:tabs>
            </w:pPr>
          </w:p>
        </w:tc>
        <w:tc>
          <w:tcPr>
            <w:tcW w:w="1620" w:type="dxa"/>
          </w:tcPr>
          <w:p w14:paraId="26BE33FB" w14:textId="7E3DFA8E" w:rsidR="002D627A" w:rsidRPr="000D3DC5" w:rsidRDefault="006E7CF8" w:rsidP="002D627A">
            <w:pPr>
              <w:tabs>
                <w:tab w:val="decimal" w:pos="1152"/>
                <w:tab w:val="right" w:pos="9180"/>
              </w:tabs>
            </w:pPr>
            <w:r>
              <w:tab/>
            </w:r>
            <w:r w:rsidR="00587925">
              <w:t>1,897</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77777777" w:rsidR="002D627A" w:rsidRDefault="002D627A" w:rsidP="002D627A">
            <w:r>
              <w:t>Stock-based compensation expense</w:t>
            </w:r>
          </w:p>
        </w:tc>
        <w:tc>
          <w:tcPr>
            <w:tcW w:w="1800" w:type="dxa"/>
          </w:tcPr>
          <w:p w14:paraId="1EED709A" w14:textId="7E3404CE" w:rsidR="002D627A" w:rsidRPr="000D3DC5" w:rsidRDefault="00767AC2" w:rsidP="002D627A">
            <w:pPr>
              <w:tabs>
                <w:tab w:val="decimal" w:pos="1332"/>
                <w:tab w:val="right" w:pos="9180"/>
              </w:tabs>
            </w:pPr>
            <w:r>
              <w:tab/>
            </w:r>
            <w:r w:rsidR="00E53694">
              <w:t>6,000</w:t>
            </w:r>
          </w:p>
        </w:tc>
        <w:tc>
          <w:tcPr>
            <w:tcW w:w="360" w:type="dxa"/>
          </w:tcPr>
          <w:p w14:paraId="1605946C" w14:textId="77777777" w:rsidR="002D627A" w:rsidRPr="000D3DC5" w:rsidRDefault="002D627A" w:rsidP="002D627A">
            <w:pPr>
              <w:tabs>
                <w:tab w:val="right" w:pos="9180"/>
              </w:tabs>
            </w:pPr>
          </w:p>
        </w:tc>
        <w:tc>
          <w:tcPr>
            <w:tcW w:w="1620" w:type="dxa"/>
          </w:tcPr>
          <w:p w14:paraId="6F1BA9DB" w14:textId="3216D883" w:rsidR="002D627A" w:rsidRPr="000D3DC5" w:rsidRDefault="006E7CF8" w:rsidP="002D627A">
            <w:pPr>
              <w:tabs>
                <w:tab w:val="decimal" w:pos="1152"/>
                <w:tab w:val="right" w:pos="9180"/>
              </w:tabs>
            </w:pPr>
            <w:r>
              <w:tab/>
            </w:r>
            <w:r w:rsidR="00587925">
              <w:t>153,224</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37FEEA82" w14:textId="77777777" w:rsidTr="002D627A">
        <w:tc>
          <w:tcPr>
            <w:tcW w:w="378" w:type="dxa"/>
          </w:tcPr>
          <w:p w14:paraId="360257F2" w14:textId="77777777" w:rsidR="002D627A" w:rsidRPr="000D3DC5" w:rsidRDefault="002D627A" w:rsidP="002D627A"/>
        </w:tc>
        <w:tc>
          <w:tcPr>
            <w:tcW w:w="425" w:type="dxa"/>
          </w:tcPr>
          <w:p w14:paraId="12F4BC5A" w14:textId="77777777" w:rsidR="002D627A" w:rsidRPr="000D3DC5" w:rsidRDefault="002D627A" w:rsidP="002D627A"/>
        </w:tc>
        <w:tc>
          <w:tcPr>
            <w:tcW w:w="385" w:type="dxa"/>
            <w:gridSpan w:val="2"/>
          </w:tcPr>
          <w:p w14:paraId="51EA8F94" w14:textId="77777777" w:rsidR="002D627A" w:rsidRPr="000D3DC5" w:rsidRDefault="002D627A" w:rsidP="002D627A"/>
        </w:tc>
        <w:tc>
          <w:tcPr>
            <w:tcW w:w="5220" w:type="dxa"/>
            <w:gridSpan w:val="4"/>
          </w:tcPr>
          <w:p w14:paraId="2E92F42A" w14:textId="4508B9BA" w:rsidR="002D627A" w:rsidRPr="000D3DC5" w:rsidRDefault="002D627A" w:rsidP="002D627A">
            <w:pPr>
              <w:tabs>
                <w:tab w:val="right" w:pos="9180"/>
              </w:tabs>
            </w:pPr>
            <w:r>
              <w:t xml:space="preserve">Grant funds </w:t>
            </w:r>
            <w:r w:rsidR="00AC463D">
              <w:t xml:space="preserve">and other </w:t>
            </w:r>
            <w:r>
              <w:t>receivable</w:t>
            </w:r>
            <w:r w:rsidR="00AC463D">
              <w:t>s</w:t>
            </w:r>
          </w:p>
        </w:tc>
        <w:tc>
          <w:tcPr>
            <w:tcW w:w="1800" w:type="dxa"/>
          </w:tcPr>
          <w:p w14:paraId="56ADA91A" w14:textId="2168B40C" w:rsidR="002D627A" w:rsidRDefault="00767AC2" w:rsidP="002D627A">
            <w:pPr>
              <w:tabs>
                <w:tab w:val="decimal" w:pos="1332"/>
                <w:tab w:val="right" w:pos="9180"/>
              </w:tabs>
            </w:pPr>
            <w:r>
              <w:tab/>
            </w:r>
            <w:r w:rsidR="00E53694">
              <w:t>(451,906)</w:t>
            </w:r>
          </w:p>
        </w:tc>
        <w:tc>
          <w:tcPr>
            <w:tcW w:w="360" w:type="dxa"/>
          </w:tcPr>
          <w:p w14:paraId="5F3D2CF9" w14:textId="77777777" w:rsidR="002D627A" w:rsidRPr="000D3DC5" w:rsidRDefault="002D627A" w:rsidP="002D627A">
            <w:pPr>
              <w:tabs>
                <w:tab w:val="right" w:pos="9180"/>
              </w:tabs>
            </w:pPr>
          </w:p>
        </w:tc>
        <w:tc>
          <w:tcPr>
            <w:tcW w:w="1620" w:type="dxa"/>
          </w:tcPr>
          <w:p w14:paraId="48F34730" w14:textId="1F1CD535" w:rsidR="002D627A" w:rsidRDefault="006E7CF8" w:rsidP="002D627A">
            <w:pPr>
              <w:tabs>
                <w:tab w:val="decimal" w:pos="1152"/>
                <w:tab w:val="right" w:pos="9180"/>
              </w:tabs>
            </w:pPr>
            <w:r>
              <w:tab/>
            </w:r>
            <w:r w:rsidR="00587925">
              <w:t>(38,463)</w:t>
            </w: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65980AAA" w:rsidR="002D627A" w:rsidRPr="000D3DC5" w:rsidRDefault="00767AC2" w:rsidP="002D627A">
            <w:pPr>
              <w:tabs>
                <w:tab w:val="decimal" w:pos="1332"/>
                <w:tab w:val="right" w:pos="9180"/>
              </w:tabs>
            </w:pPr>
            <w:r>
              <w:tab/>
            </w:r>
            <w:r w:rsidR="00E53694">
              <w:t>27,425</w:t>
            </w:r>
          </w:p>
        </w:tc>
        <w:tc>
          <w:tcPr>
            <w:tcW w:w="360" w:type="dxa"/>
          </w:tcPr>
          <w:p w14:paraId="6A52DAE9" w14:textId="77777777" w:rsidR="002D627A" w:rsidRPr="000D3DC5" w:rsidRDefault="002D627A" w:rsidP="002D627A">
            <w:pPr>
              <w:tabs>
                <w:tab w:val="right" w:pos="9180"/>
              </w:tabs>
            </w:pPr>
          </w:p>
        </w:tc>
        <w:tc>
          <w:tcPr>
            <w:tcW w:w="1620" w:type="dxa"/>
          </w:tcPr>
          <w:p w14:paraId="07A50865" w14:textId="4EFFDF8B" w:rsidR="002D627A" w:rsidRPr="000D3DC5" w:rsidRDefault="006E7CF8" w:rsidP="002D627A">
            <w:pPr>
              <w:tabs>
                <w:tab w:val="decimal" w:pos="1152"/>
                <w:tab w:val="right" w:pos="9180"/>
              </w:tabs>
            </w:pPr>
            <w:r>
              <w:tab/>
            </w:r>
            <w:r w:rsidR="00587925">
              <w:t>(30)</w:t>
            </w:r>
          </w:p>
        </w:tc>
      </w:tr>
      <w:tr w:rsidR="002D627A" w:rsidRPr="000D3DC5" w14:paraId="668C34D8" w14:textId="77777777" w:rsidTr="002D627A">
        <w:tc>
          <w:tcPr>
            <w:tcW w:w="378" w:type="dxa"/>
          </w:tcPr>
          <w:p w14:paraId="66947C1A" w14:textId="77777777" w:rsidR="002D627A" w:rsidRPr="000D3DC5" w:rsidRDefault="002D627A" w:rsidP="002D627A"/>
        </w:tc>
        <w:tc>
          <w:tcPr>
            <w:tcW w:w="425" w:type="dxa"/>
          </w:tcPr>
          <w:p w14:paraId="6969CC7B" w14:textId="77777777" w:rsidR="002D627A" w:rsidRPr="000D3DC5" w:rsidRDefault="002D627A" w:rsidP="002D627A"/>
        </w:tc>
        <w:tc>
          <w:tcPr>
            <w:tcW w:w="385" w:type="dxa"/>
            <w:gridSpan w:val="2"/>
          </w:tcPr>
          <w:p w14:paraId="1AD67F20" w14:textId="77777777" w:rsidR="002D627A" w:rsidRPr="000D3DC5" w:rsidRDefault="002D627A" w:rsidP="002D627A"/>
        </w:tc>
        <w:tc>
          <w:tcPr>
            <w:tcW w:w="5220" w:type="dxa"/>
            <w:gridSpan w:val="4"/>
          </w:tcPr>
          <w:p w14:paraId="31D7AC71" w14:textId="77777777" w:rsidR="002D627A" w:rsidRPr="000D3DC5" w:rsidRDefault="002D627A" w:rsidP="002D627A">
            <w:pPr>
              <w:tabs>
                <w:tab w:val="right" w:pos="9180"/>
              </w:tabs>
            </w:pPr>
            <w:r w:rsidRPr="000D3DC5">
              <w:t>Accounts payable and accrued expenses</w:t>
            </w:r>
          </w:p>
        </w:tc>
        <w:tc>
          <w:tcPr>
            <w:tcW w:w="1800" w:type="dxa"/>
          </w:tcPr>
          <w:p w14:paraId="39FF3F45" w14:textId="1C3BF402" w:rsidR="002D627A" w:rsidRPr="000D3DC5" w:rsidRDefault="00767AC2" w:rsidP="002D627A">
            <w:pPr>
              <w:tabs>
                <w:tab w:val="decimal" w:pos="1332"/>
                <w:tab w:val="right" w:pos="9180"/>
              </w:tabs>
            </w:pPr>
            <w:r>
              <w:tab/>
            </w:r>
            <w:r w:rsidR="00E53694">
              <w:t>654,561</w:t>
            </w:r>
          </w:p>
        </w:tc>
        <w:tc>
          <w:tcPr>
            <w:tcW w:w="360" w:type="dxa"/>
          </w:tcPr>
          <w:p w14:paraId="102B1A34" w14:textId="77777777" w:rsidR="002D627A" w:rsidRPr="000D3DC5" w:rsidRDefault="002D627A" w:rsidP="002D627A">
            <w:pPr>
              <w:tabs>
                <w:tab w:val="right" w:pos="9180"/>
              </w:tabs>
            </w:pPr>
          </w:p>
        </w:tc>
        <w:tc>
          <w:tcPr>
            <w:tcW w:w="1620" w:type="dxa"/>
          </w:tcPr>
          <w:p w14:paraId="6098F217" w14:textId="438A48EC" w:rsidR="002D627A" w:rsidRPr="000D3DC5" w:rsidRDefault="006E7CF8" w:rsidP="002D627A">
            <w:pPr>
              <w:tabs>
                <w:tab w:val="decimal" w:pos="1152"/>
                <w:tab w:val="right" w:pos="9180"/>
              </w:tabs>
            </w:pPr>
            <w:r>
              <w:tab/>
            </w:r>
            <w:r w:rsidR="00587925">
              <w:t>267,465</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2E60A9E2" w:rsidR="002D627A" w:rsidRPr="000D3DC5" w:rsidRDefault="00767AC2" w:rsidP="002D627A">
            <w:pPr>
              <w:tabs>
                <w:tab w:val="decimal" w:pos="1332"/>
                <w:tab w:val="right" w:pos="9180"/>
              </w:tabs>
            </w:pPr>
            <w:r>
              <w:tab/>
            </w:r>
            <w:r w:rsidR="00E53694">
              <w:t>237,074</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3259C210" w:rsidR="002D627A" w:rsidRPr="000D3DC5" w:rsidRDefault="006E7CF8" w:rsidP="002D627A">
            <w:pPr>
              <w:tabs>
                <w:tab w:val="decimal" w:pos="1152"/>
                <w:tab w:val="right" w:pos="9180"/>
              </w:tabs>
            </w:pPr>
            <w:r>
              <w:tab/>
            </w:r>
            <w:r w:rsidR="00587925">
              <w:t>384,093</w:t>
            </w:r>
          </w:p>
        </w:tc>
      </w:tr>
      <w:tr w:rsidR="00D27ADC" w:rsidRPr="000D3DC5" w14:paraId="14368133" w14:textId="77777777" w:rsidTr="00D27ADC">
        <w:tc>
          <w:tcPr>
            <w:tcW w:w="378" w:type="dxa"/>
          </w:tcPr>
          <w:p w14:paraId="08E245AC" w14:textId="77777777" w:rsidR="00D27ADC" w:rsidRPr="000D3DC5" w:rsidRDefault="00D27ADC" w:rsidP="002D627A"/>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6A3053FD" w:rsidR="00D27ADC" w:rsidRDefault="00D27ADC" w:rsidP="002D627A">
            <w:pPr>
              <w:tabs>
                <w:tab w:val="decimal" w:pos="1332"/>
                <w:tab w:val="right" w:pos="9180"/>
              </w:tabs>
            </w:pPr>
            <w:r>
              <w:tab/>
            </w:r>
            <w:r w:rsidR="00E53694">
              <w:t>(358,620)</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03304070" w:rsidR="00D27ADC" w:rsidRDefault="00D27ADC" w:rsidP="002D627A">
            <w:pPr>
              <w:tabs>
                <w:tab w:val="decimal" w:pos="1152"/>
                <w:tab w:val="right" w:pos="9180"/>
              </w:tabs>
            </w:pPr>
            <w:r>
              <w:tab/>
              <w:t>(3</w:t>
            </w:r>
            <w:r w:rsidR="00587925">
              <w:t>17,361</w:t>
            </w:r>
            <w:r>
              <w:t>)</w:t>
            </w:r>
          </w:p>
        </w:tc>
      </w:tr>
      <w:tr w:rsidR="002D627A" w:rsidRPr="000D3DC5" w14:paraId="51C57900" w14:textId="77777777" w:rsidTr="002D627A">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2D627A" w:rsidRPr="000D3DC5" w14:paraId="789BDC17" w14:textId="77777777" w:rsidTr="00DB3B22">
        <w:tc>
          <w:tcPr>
            <w:tcW w:w="4853" w:type="dxa"/>
            <w:gridSpan w:val="7"/>
          </w:tcPr>
          <w:p w14:paraId="1FBFC866" w14:textId="77777777" w:rsidR="002D627A" w:rsidRPr="000D3DC5" w:rsidRDefault="002D627A" w:rsidP="002D627A">
            <w:r w:rsidRPr="000D3DC5">
              <w:t>Cash flows from investing activities:</w:t>
            </w:r>
          </w:p>
        </w:tc>
        <w:tc>
          <w:tcPr>
            <w:tcW w:w="1555" w:type="dxa"/>
          </w:tcPr>
          <w:p w14:paraId="1B77AAE7" w14:textId="77777777" w:rsidR="002D627A" w:rsidRPr="000D3DC5" w:rsidRDefault="002D627A" w:rsidP="002D627A">
            <w:pPr>
              <w:tabs>
                <w:tab w:val="right" w:pos="9180"/>
              </w:tabs>
            </w:pPr>
          </w:p>
        </w:tc>
        <w:tc>
          <w:tcPr>
            <w:tcW w:w="1800" w:type="dxa"/>
          </w:tcPr>
          <w:p w14:paraId="58E41C16" w14:textId="77777777" w:rsidR="002D627A" w:rsidRPr="000D3DC5" w:rsidRDefault="002D627A" w:rsidP="002D627A">
            <w:pPr>
              <w:tabs>
                <w:tab w:val="decimal" w:pos="1044"/>
                <w:tab w:val="decimal" w:pos="1332"/>
                <w:tab w:val="right" w:pos="9180"/>
              </w:tabs>
            </w:pPr>
          </w:p>
        </w:tc>
        <w:tc>
          <w:tcPr>
            <w:tcW w:w="360" w:type="dxa"/>
          </w:tcPr>
          <w:p w14:paraId="42164C5D" w14:textId="77777777" w:rsidR="002D627A" w:rsidRPr="000D3DC5" w:rsidRDefault="002D627A" w:rsidP="002D627A">
            <w:pPr>
              <w:tabs>
                <w:tab w:val="right" w:pos="9180"/>
              </w:tabs>
            </w:pPr>
          </w:p>
        </w:tc>
        <w:tc>
          <w:tcPr>
            <w:tcW w:w="1620" w:type="dxa"/>
          </w:tcPr>
          <w:p w14:paraId="6C7C537D" w14:textId="77777777" w:rsidR="002D627A" w:rsidRPr="000D3DC5" w:rsidRDefault="002D627A" w:rsidP="002D627A">
            <w:pPr>
              <w:tabs>
                <w:tab w:val="decimal" w:pos="1044"/>
                <w:tab w:val="right" w:pos="9180"/>
              </w:tabs>
              <w:ind w:right="-18"/>
            </w:pPr>
          </w:p>
        </w:tc>
      </w:tr>
      <w:tr w:rsidR="002D627A" w:rsidRPr="000D3DC5" w14:paraId="01811FC7" w14:textId="77777777" w:rsidTr="00DB3B22">
        <w:tc>
          <w:tcPr>
            <w:tcW w:w="378" w:type="dxa"/>
          </w:tcPr>
          <w:p w14:paraId="0E575DF6" w14:textId="77777777" w:rsidR="002D627A" w:rsidRPr="000D3DC5" w:rsidRDefault="002D627A" w:rsidP="002D627A"/>
        </w:tc>
        <w:tc>
          <w:tcPr>
            <w:tcW w:w="4475" w:type="dxa"/>
            <w:gridSpan w:val="6"/>
          </w:tcPr>
          <w:p w14:paraId="48BC66BB" w14:textId="77777777" w:rsidR="002D627A" w:rsidRPr="000D3DC5" w:rsidRDefault="002D627A" w:rsidP="002D627A">
            <w:r w:rsidRPr="000D3DC5">
              <w:t>Purchase of property and equipment</w:t>
            </w:r>
          </w:p>
        </w:tc>
        <w:tc>
          <w:tcPr>
            <w:tcW w:w="1555" w:type="dxa"/>
          </w:tcPr>
          <w:p w14:paraId="7EBDEEE5" w14:textId="77777777" w:rsidR="002D627A" w:rsidRPr="000D3DC5" w:rsidRDefault="002D627A" w:rsidP="002D627A">
            <w:pPr>
              <w:tabs>
                <w:tab w:val="right" w:pos="9180"/>
              </w:tabs>
            </w:pPr>
          </w:p>
        </w:tc>
        <w:tc>
          <w:tcPr>
            <w:tcW w:w="1800" w:type="dxa"/>
            <w:tcBorders>
              <w:bottom w:val="single" w:sz="4" w:space="0" w:color="auto"/>
            </w:tcBorders>
          </w:tcPr>
          <w:p w14:paraId="5782B4A9" w14:textId="5B130BB7" w:rsidR="002D627A" w:rsidRPr="000D3DC5" w:rsidRDefault="00767AC2" w:rsidP="002D627A">
            <w:pPr>
              <w:tabs>
                <w:tab w:val="decimal" w:pos="1332"/>
                <w:tab w:val="right" w:pos="9180"/>
              </w:tabs>
            </w:pPr>
            <w:r>
              <w:tab/>
            </w:r>
            <w:r w:rsidR="00E53694">
              <w:t>-</w:t>
            </w:r>
          </w:p>
        </w:tc>
        <w:tc>
          <w:tcPr>
            <w:tcW w:w="360" w:type="dxa"/>
          </w:tcPr>
          <w:p w14:paraId="4C599FC5" w14:textId="77777777" w:rsidR="002D627A" w:rsidRPr="000D3DC5" w:rsidRDefault="002D627A" w:rsidP="002D627A">
            <w:pPr>
              <w:tabs>
                <w:tab w:val="right" w:pos="9180"/>
              </w:tabs>
            </w:pPr>
          </w:p>
        </w:tc>
        <w:tc>
          <w:tcPr>
            <w:tcW w:w="1620" w:type="dxa"/>
            <w:tcBorders>
              <w:bottom w:val="single" w:sz="4" w:space="0" w:color="auto"/>
            </w:tcBorders>
          </w:tcPr>
          <w:p w14:paraId="25532362" w14:textId="18B61720" w:rsidR="002D627A" w:rsidRPr="000D3DC5" w:rsidRDefault="006E7CF8" w:rsidP="002D627A">
            <w:pPr>
              <w:tabs>
                <w:tab w:val="decimal" w:pos="1152"/>
                <w:tab w:val="right" w:pos="9180"/>
              </w:tabs>
            </w:pPr>
            <w:r>
              <w:tab/>
            </w:r>
            <w:r w:rsidR="00587925">
              <w:t>(4,272)</w:t>
            </w:r>
          </w:p>
        </w:tc>
      </w:tr>
      <w:tr w:rsidR="00D27ADC" w:rsidRPr="000D3DC5" w14:paraId="6DD7F11D" w14:textId="77777777" w:rsidTr="00DB3B22">
        <w:tc>
          <w:tcPr>
            <w:tcW w:w="378" w:type="dxa"/>
          </w:tcPr>
          <w:p w14:paraId="427E0935" w14:textId="77777777" w:rsidR="00D27ADC" w:rsidRPr="000D3DC5" w:rsidRDefault="00D27ADC" w:rsidP="002D627A"/>
        </w:tc>
        <w:tc>
          <w:tcPr>
            <w:tcW w:w="4475" w:type="dxa"/>
            <w:gridSpan w:val="6"/>
          </w:tcPr>
          <w:p w14:paraId="78340E5E" w14:textId="08B60DE9" w:rsidR="00D27ADC" w:rsidRPr="000D3DC5" w:rsidRDefault="00D27ADC" w:rsidP="002D627A">
            <w:r>
              <w:t>Net cash used in investing activities</w:t>
            </w:r>
          </w:p>
        </w:tc>
        <w:tc>
          <w:tcPr>
            <w:tcW w:w="1555" w:type="dxa"/>
          </w:tcPr>
          <w:p w14:paraId="00181D5F" w14:textId="77777777" w:rsidR="00D27ADC" w:rsidRPr="000D3DC5" w:rsidRDefault="00D27ADC" w:rsidP="002D627A">
            <w:pPr>
              <w:tabs>
                <w:tab w:val="right" w:pos="9180"/>
              </w:tabs>
            </w:pPr>
          </w:p>
        </w:tc>
        <w:tc>
          <w:tcPr>
            <w:tcW w:w="1800" w:type="dxa"/>
          </w:tcPr>
          <w:p w14:paraId="382B644F" w14:textId="04B56086" w:rsidR="00D27ADC" w:rsidRDefault="00D27ADC" w:rsidP="002D627A">
            <w:pPr>
              <w:tabs>
                <w:tab w:val="decimal" w:pos="1332"/>
                <w:tab w:val="right" w:pos="9180"/>
              </w:tabs>
            </w:pPr>
            <w:r>
              <w:tab/>
            </w:r>
            <w:r w:rsidR="00E53694">
              <w:t>-</w:t>
            </w:r>
          </w:p>
        </w:tc>
        <w:tc>
          <w:tcPr>
            <w:tcW w:w="360" w:type="dxa"/>
          </w:tcPr>
          <w:p w14:paraId="73B3F746" w14:textId="77777777" w:rsidR="00D27ADC" w:rsidRPr="000D3DC5" w:rsidRDefault="00D27ADC" w:rsidP="002D627A">
            <w:pPr>
              <w:tabs>
                <w:tab w:val="right" w:pos="9180"/>
              </w:tabs>
            </w:pPr>
          </w:p>
        </w:tc>
        <w:tc>
          <w:tcPr>
            <w:tcW w:w="1620" w:type="dxa"/>
            <w:tcBorders>
              <w:top w:val="single" w:sz="4" w:space="0" w:color="auto"/>
            </w:tcBorders>
          </w:tcPr>
          <w:p w14:paraId="5A223855" w14:textId="4E27A164" w:rsidR="00D27ADC" w:rsidRDefault="00D27ADC" w:rsidP="002D627A">
            <w:pPr>
              <w:tabs>
                <w:tab w:val="decimal" w:pos="1152"/>
                <w:tab w:val="right" w:pos="9180"/>
              </w:tabs>
            </w:pPr>
            <w:r>
              <w:tab/>
            </w:r>
            <w:r w:rsidR="00587925">
              <w:t>(4,272)</w:t>
            </w:r>
          </w:p>
        </w:tc>
      </w:tr>
      <w:tr w:rsidR="002D627A" w:rsidRPr="000D3DC5" w14:paraId="5BD203D6" w14:textId="77777777" w:rsidTr="002D627A">
        <w:tc>
          <w:tcPr>
            <w:tcW w:w="378" w:type="dxa"/>
          </w:tcPr>
          <w:p w14:paraId="3A29AA37" w14:textId="77777777" w:rsidR="002D627A" w:rsidRPr="000D3DC5" w:rsidRDefault="002D627A" w:rsidP="002D627A"/>
        </w:tc>
        <w:tc>
          <w:tcPr>
            <w:tcW w:w="425" w:type="dxa"/>
          </w:tcPr>
          <w:p w14:paraId="6B73CC68" w14:textId="77777777" w:rsidR="002D627A" w:rsidRPr="000D3DC5" w:rsidRDefault="002D627A" w:rsidP="002D627A"/>
        </w:tc>
        <w:tc>
          <w:tcPr>
            <w:tcW w:w="789" w:type="dxa"/>
            <w:gridSpan w:val="3"/>
          </w:tcPr>
          <w:p w14:paraId="5475961C" w14:textId="77777777" w:rsidR="002D627A" w:rsidRPr="000D3DC5" w:rsidRDefault="002D627A" w:rsidP="002D627A"/>
        </w:tc>
        <w:tc>
          <w:tcPr>
            <w:tcW w:w="620" w:type="dxa"/>
          </w:tcPr>
          <w:p w14:paraId="3E0C9267" w14:textId="77777777" w:rsidR="002D627A" w:rsidRPr="000D3DC5" w:rsidRDefault="002D627A" w:rsidP="002D627A"/>
        </w:tc>
        <w:tc>
          <w:tcPr>
            <w:tcW w:w="2641" w:type="dxa"/>
          </w:tcPr>
          <w:p w14:paraId="03595848" w14:textId="77777777" w:rsidR="002D627A" w:rsidRPr="000D3DC5" w:rsidRDefault="002D627A" w:rsidP="002D627A"/>
        </w:tc>
        <w:tc>
          <w:tcPr>
            <w:tcW w:w="1555" w:type="dxa"/>
          </w:tcPr>
          <w:p w14:paraId="159C73FD" w14:textId="77777777" w:rsidR="002D627A" w:rsidRPr="000D3DC5" w:rsidRDefault="002D627A" w:rsidP="002D627A">
            <w:pPr>
              <w:tabs>
                <w:tab w:val="right" w:pos="9180"/>
              </w:tabs>
            </w:pPr>
          </w:p>
        </w:tc>
        <w:tc>
          <w:tcPr>
            <w:tcW w:w="1800" w:type="dxa"/>
          </w:tcPr>
          <w:p w14:paraId="2E1A5C5F" w14:textId="77777777" w:rsidR="002D627A" w:rsidRPr="000D3DC5" w:rsidRDefault="002D627A" w:rsidP="002D627A">
            <w:pPr>
              <w:tabs>
                <w:tab w:val="decimal" w:pos="1044"/>
                <w:tab w:val="decimal" w:pos="1332"/>
                <w:tab w:val="right" w:pos="9180"/>
              </w:tabs>
            </w:pPr>
          </w:p>
        </w:tc>
        <w:tc>
          <w:tcPr>
            <w:tcW w:w="360" w:type="dxa"/>
          </w:tcPr>
          <w:p w14:paraId="4456697A" w14:textId="77777777" w:rsidR="002D627A" w:rsidRPr="000D3DC5" w:rsidRDefault="002D627A" w:rsidP="002D627A">
            <w:pPr>
              <w:tabs>
                <w:tab w:val="right" w:pos="9180"/>
              </w:tabs>
            </w:pPr>
          </w:p>
        </w:tc>
        <w:tc>
          <w:tcPr>
            <w:tcW w:w="1620" w:type="dxa"/>
          </w:tcPr>
          <w:p w14:paraId="4219334E" w14:textId="77777777" w:rsidR="002D627A" w:rsidRPr="000D3DC5" w:rsidRDefault="002D627A" w:rsidP="002D627A">
            <w:pPr>
              <w:tabs>
                <w:tab w:val="decimal" w:pos="1044"/>
                <w:tab w:val="right" w:pos="9180"/>
              </w:tabs>
            </w:pPr>
          </w:p>
        </w:tc>
      </w:tr>
      <w:tr w:rsidR="002D627A" w:rsidRPr="000D3DC5" w14:paraId="053EAA27" w14:textId="77777777" w:rsidTr="002D627A">
        <w:tc>
          <w:tcPr>
            <w:tcW w:w="4853" w:type="dxa"/>
            <w:gridSpan w:val="7"/>
          </w:tcPr>
          <w:p w14:paraId="22EA140B" w14:textId="77777777" w:rsidR="002D627A" w:rsidRPr="000D3DC5" w:rsidRDefault="002D627A" w:rsidP="002D627A">
            <w:r w:rsidRPr="000D3DC5">
              <w:t>Cash flows from financing activities:</w:t>
            </w:r>
          </w:p>
        </w:tc>
        <w:tc>
          <w:tcPr>
            <w:tcW w:w="1555" w:type="dxa"/>
          </w:tcPr>
          <w:p w14:paraId="090FA1AC" w14:textId="77777777" w:rsidR="002D627A" w:rsidRPr="000D3DC5"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452D3C" w:rsidRPr="000D3DC5" w14:paraId="197C4C00" w14:textId="77777777" w:rsidTr="002D627A">
        <w:tc>
          <w:tcPr>
            <w:tcW w:w="378" w:type="dxa"/>
          </w:tcPr>
          <w:p w14:paraId="5B6BCB85" w14:textId="77777777" w:rsidR="00452D3C" w:rsidRPr="000D3DC5" w:rsidRDefault="00452D3C" w:rsidP="002D627A">
            <w:bookmarkStart w:id="8" w:name="_Hlk511051769"/>
          </w:p>
        </w:tc>
        <w:tc>
          <w:tcPr>
            <w:tcW w:w="4475" w:type="dxa"/>
            <w:gridSpan w:val="6"/>
          </w:tcPr>
          <w:p w14:paraId="516B8FFF" w14:textId="7EBE257D" w:rsidR="00452D3C" w:rsidRPr="000D3DC5" w:rsidRDefault="00AC463D" w:rsidP="002D627A">
            <w:r>
              <w:t>Net p</w:t>
            </w:r>
            <w:r w:rsidR="00452D3C">
              <w:t xml:space="preserve">roceeds from sale of </w:t>
            </w:r>
            <w:r>
              <w:t>preferred</w:t>
            </w:r>
            <w:r w:rsidR="00452D3C">
              <w:t xml:space="preserve"> stock</w:t>
            </w:r>
          </w:p>
        </w:tc>
        <w:tc>
          <w:tcPr>
            <w:tcW w:w="1555" w:type="dxa"/>
          </w:tcPr>
          <w:p w14:paraId="26800BF2" w14:textId="77777777" w:rsidR="00452D3C" w:rsidRPr="000D3DC5" w:rsidRDefault="00452D3C" w:rsidP="002D627A">
            <w:pPr>
              <w:tabs>
                <w:tab w:val="right" w:pos="9180"/>
              </w:tabs>
            </w:pPr>
          </w:p>
        </w:tc>
        <w:tc>
          <w:tcPr>
            <w:tcW w:w="1800" w:type="dxa"/>
          </w:tcPr>
          <w:p w14:paraId="19570262" w14:textId="676D5E38" w:rsidR="00452D3C" w:rsidRDefault="00FD4723" w:rsidP="002D627A">
            <w:pPr>
              <w:tabs>
                <w:tab w:val="decimal" w:pos="1332"/>
                <w:tab w:val="right" w:pos="9180"/>
              </w:tabs>
            </w:pPr>
            <w:r>
              <w:tab/>
            </w:r>
            <w:r w:rsidR="00E53694">
              <w:t>300,000</w:t>
            </w:r>
          </w:p>
        </w:tc>
        <w:tc>
          <w:tcPr>
            <w:tcW w:w="360" w:type="dxa"/>
          </w:tcPr>
          <w:p w14:paraId="3A03174F" w14:textId="77777777" w:rsidR="00452D3C" w:rsidRPr="000D3DC5" w:rsidRDefault="00452D3C" w:rsidP="00B1007E">
            <w:pPr>
              <w:pStyle w:val="ListParagraph"/>
              <w:numPr>
                <w:ilvl w:val="0"/>
                <w:numId w:val="6"/>
              </w:numPr>
              <w:tabs>
                <w:tab w:val="right" w:pos="9180"/>
              </w:tabs>
            </w:pPr>
          </w:p>
        </w:tc>
        <w:tc>
          <w:tcPr>
            <w:tcW w:w="1620" w:type="dxa"/>
          </w:tcPr>
          <w:p w14:paraId="23A203E6" w14:textId="45996208" w:rsidR="00452D3C" w:rsidRDefault="00452D3C" w:rsidP="002D627A">
            <w:pPr>
              <w:tabs>
                <w:tab w:val="decimal" w:pos="1152"/>
                <w:tab w:val="right" w:pos="9180"/>
              </w:tabs>
            </w:pPr>
            <w:r>
              <w:tab/>
            </w:r>
            <w:r w:rsidR="00587925">
              <w:t>240,000</w:t>
            </w:r>
          </w:p>
        </w:tc>
      </w:tr>
      <w:bookmarkEnd w:id="8"/>
      <w:tr w:rsidR="00AC463D" w:rsidRPr="000D3DC5" w14:paraId="7241350C" w14:textId="77777777" w:rsidTr="00DB3B22">
        <w:tc>
          <w:tcPr>
            <w:tcW w:w="378" w:type="dxa"/>
          </w:tcPr>
          <w:p w14:paraId="3A34C231" w14:textId="77777777" w:rsidR="00AC463D" w:rsidRPr="000D3DC5" w:rsidRDefault="00AC463D" w:rsidP="002D627A"/>
        </w:tc>
        <w:tc>
          <w:tcPr>
            <w:tcW w:w="4475" w:type="dxa"/>
            <w:gridSpan w:val="6"/>
          </w:tcPr>
          <w:p w14:paraId="150A9DDB" w14:textId="70DAC2B9" w:rsidR="00AC463D" w:rsidRPr="00E0298C" w:rsidRDefault="00E0298C" w:rsidP="002D627A">
            <w:r w:rsidRPr="00E0298C">
              <w:t>Principal re</w:t>
            </w:r>
            <w:r w:rsidR="00A80E0D" w:rsidRPr="00E0298C">
              <w:t>payment</w:t>
            </w:r>
            <w:r w:rsidR="00AC463D" w:rsidRPr="00E0298C">
              <w:t xml:space="preserve"> of note payable</w:t>
            </w:r>
          </w:p>
        </w:tc>
        <w:tc>
          <w:tcPr>
            <w:tcW w:w="1555" w:type="dxa"/>
          </w:tcPr>
          <w:p w14:paraId="53569C0C" w14:textId="77777777" w:rsidR="00AC463D" w:rsidRPr="00E0298C" w:rsidRDefault="00AC463D" w:rsidP="002D627A">
            <w:pPr>
              <w:tabs>
                <w:tab w:val="right" w:pos="9180"/>
              </w:tabs>
            </w:pPr>
          </w:p>
        </w:tc>
        <w:tc>
          <w:tcPr>
            <w:tcW w:w="1800" w:type="dxa"/>
            <w:tcBorders>
              <w:bottom w:val="single" w:sz="4" w:space="0" w:color="auto"/>
            </w:tcBorders>
          </w:tcPr>
          <w:p w14:paraId="3CAD48C2" w14:textId="345C43C6" w:rsidR="00AC463D" w:rsidRPr="00E0298C" w:rsidRDefault="00AC463D" w:rsidP="002D627A">
            <w:pPr>
              <w:tabs>
                <w:tab w:val="decimal" w:pos="1332"/>
                <w:tab w:val="right" w:pos="9180"/>
              </w:tabs>
            </w:pPr>
            <w:r w:rsidRPr="00E0298C">
              <w:tab/>
            </w:r>
            <w:r w:rsidR="00E53694">
              <w:t>(2,914)</w:t>
            </w:r>
          </w:p>
        </w:tc>
        <w:tc>
          <w:tcPr>
            <w:tcW w:w="360" w:type="dxa"/>
          </w:tcPr>
          <w:p w14:paraId="5ECD107E" w14:textId="77777777" w:rsidR="00AC463D" w:rsidRPr="00E0298C" w:rsidRDefault="00AC463D" w:rsidP="00B1007E">
            <w:pPr>
              <w:pStyle w:val="ListParagraph"/>
              <w:numPr>
                <w:ilvl w:val="0"/>
                <w:numId w:val="6"/>
              </w:numPr>
              <w:tabs>
                <w:tab w:val="right" w:pos="9180"/>
              </w:tabs>
            </w:pPr>
          </w:p>
        </w:tc>
        <w:tc>
          <w:tcPr>
            <w:tcW w:w="1620" w:type="dxa"/>
            <w:tcBorders>
              <w:bottom w:val="single" w:sz="4" w:space="0" w:color="auto"/>
            </w:tcBorders>
          </w:tcPr>
          <w:p w14:paraId="7BFE9FB1" w14:textId="21E88F0B" w:rsidR="00AC463D" w:rsidRDefault="00AC463D" w:rsidP="002D627A">
            <w:pPr>
              <w:tabs>
                <w:tab w:val="decimal" w:pos="1152"/>
                <w:tab w:val="right" w:pos="9180"/>
              </w:tabs>
            </w:pPr>
            <w:r w:rsidRPr="00E0298C">
              <w:tab/>
            </w:r>
            <w:r w:rsidR="00587925">
              <w:t>(2,083)</w:t>
            </w:r>
          </w:p>
        </w:tc>
      </w:tr>
      <w:tr w:rsidR="00D27ADC" w:rsidRPr="000D3DC5" w14:paraId="47623E77" w14:textId="77777777" w:rsidTr="00DB3B22">
        <w:tc>
          <w:tcPr>
            <w:tcW w:w="378" w:type="dxa"/>
          </w:tcPr>
          <w:p w14:paraId="54858BC9" w14:textId="77777777" w:rsidR="00D27ADC" w:rsidRPr="000D3DC5" w:rsidRDefault="00D27ADC" w:rsidP="002D627A"/>
        </w:tc>
        <w:tc>
          <w:tcPr>
            <w:tcW w:w="4475" w:type="dxa"/>
            <w:gridSpan w:val="6"/>
          </w:tcPr>
          <w:p w14:paraId="22507B3C" w14:textId="7970ED54" w:rsidR="00D27ADC" w:rsidRDefault="00D27ADC" w:rsidP="002D627A">
            <w:r>
              <w:t>Net cash provided by financing activities</w:t>
            </w:r>
          </w:p>
        </w:tc>
        <w:tc>
          <w:tcPr>
            <w:tcW w:w="1555" w:type="dxa"/>
          </w:tcPr>
          <w:p w14:paraId="04945EC7" w14:textId="77777777" w:rsidR="00D27ADC" w:rsidRPr="000D3DC5" w:rsidRDefault="00D27ADC" w:rsidP="002D627A">
            <w:pPr>
              <w:tabs>
                <w:tab w:val="right" w:pos="9180"/>
              </w:tabs>
            </w:pPr>
          </w:p>
        </w:tc>
        <w:tc>
          <w:tcPr>
            <w:tcW w:w="1800" w:type="dxa"/>
            <w:tcBorders>
              <w:top w:val="single" w:sz="4" w:space="0" w:color="auto"/>
            </w:tcBorders>
          </w:tcPr>
          <w:p w14:paraId="4B04B1B0" w14:textId="2996DB90" w:rsidR="00D27ADC" w:rsidRDefault="00D27ADC" w:rsidP="002D627A">
            <w:pPr>
              <w:tabs>
                <w:tab w:val="decimal" w:pos="1332"/>
                <w:tab w:val="right" w:pos="9180"/>
              </w:tabs>
            </w:pPr>
            <w:r>
              <w:tab/>
            </w:r>
            <w:r w:rsidR="00E53694">
              <w:t>297,086</w:t>
            </w:r>
          </w:p>
        </w:tc>
        <w:tc>
          <w:tcPr>
            <w:tcW w:w="360" w:type="dxa"/>
          </w:tcPr>
          <w:p w14:paraId="0E218C06" w14:textId="77777777" w:rsidR="00D27ADC" w:rsidRPr="000D3DC5" w:rsidRDefault="00D27ADC" w:rsidP="00B1007E">
            <w:pPr>
              <w:pStyle w:val="ListParagraph"/>
              <w:numPr>
                <w:ilvl w:val="0"/>
                <w:numId w:val="6"/>
              </w:numPr>
              <w:tabs>
                <w:tab w:val="right" w:pos="9180"/>
              </w:tabs>
            </w:pPr>
          </w:p>
        </w:tc>
        <w:tc>
          <w:tcPr>
            <w:tcW w:w="1620" w:type="dxa"/>
            <w:tcBorders>
              <w:top w:val="single" w:sz="4" w:space="0" w:color="auto"/>
            </w:tcBorders>
          </w:tcPr>
          <w:p w14:paraId="380588EA" w14:textId="1DC3AF35" w:rsidR="00D27ADC" w:rsidRDefault="00D27ADC" w:rsidP="002D627A">
            <w:pPr>
              <w:tabs>
                <w:tab w:val="decimal" w:pos="1152"/>
                <w:tab w:val="right" w:pos="9180"/>
              </w:tabs>
            </w:pPr>
            <w:r>
              <w:tab/>
            </w:r>
            <w:r w:rsidR="00587925">
              <w:t>237,917</w:t>
            </w:r>
          </w:p>
        </w:tc>
      </w:tr>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1E098A63" w:rsidR="002D627A" w:rsidRPr="000D3DC5" w:rsidRDefault="002D627A" w:rsidP="002D627A">
            <w:pPr>
              <w:tabs>
                <w:tab w:val="right" w:pos="9180"/>
              </w:tabs>
            </w:pPr>
            <w:r w:rsidRPr="000D3DC5">
              <w:t xml:space="preserve">Net </w:t>
            </w:r>
            <w:r w:rsidR="001977A8">
              <w:t>increase (</w:t>
            </w:r>
            <w:r w:rsidR="00F415DC">
              <w:t>decrease</w:t>
            </w:r>
            <w:r w:rsidR="001977A8">
              <w:t>)</w:t>
            </w:r>
            <w:r w:rsidRPr="000D3DC5">
              <w:t xml:space="preserve"> in cash and cash equivalents</w:t>
            </w:r>
          </w:p>
        </w:tc>
        <w:tc>
          <w:tcPr>
            <w:tcW w:w="1800" w:type="dxa"/>
          </w:tcPr>
          <w:p w14:paraId="07DCA151" w14:textId="7DEC7959" w:rsidR="002D627A" w:rsidRPr="000D3DC5" w:rsidRDefault="00767AC2" w:rsidP="002D627A">
            <w:pPr>
              <w:tabs>
                <w:tab w:val="decimal" w:pos="1332"/>
                <w:tab w:val="right" w:pos="9180"/>
              </w:tabs>
            </w:pPr>
            <w:r>
              <w:tab/>
            </w:r>
            <w:r w:rsidR="00E53694">
              <w:t>(61,534)</w:t>
            </w:r>
          </w:p>
        </w:tc>
        <w:tc>
          <w:tcPr>
            <w:tcW w:w="360" w:type="dxa"/>
          </w:tcPr>
          <w:p w14:paraId="36255853" w14:textId="77777777" w:rsidR="002D627A" w:rsidRPr="000D3DC5" w:rsidRDefault="002D627A" w:rsidP="002D627A">
            <w:pPr>
              <w:tabs>
                <w:tab w:val="right" w:pos="9180"/>
              </w:tabs>
            </w:pPr>
          </w:p>
        </w:tc>
        <w:tc>
          <w:tcPr>
            <w:tcW w:w="1620" w:type="dxa"/>
          </w:tcPr>
          <w:p w14:paraId="51BA2EF5" w14:textId="2B28A255" w:rsidR="002D627A" w:rsidRPr="000D3DC5" w:rsidRDefault="006E7CF8" w:rsidP="002D627A">
            <w:pPr>
              <w:tabs>
                <w:tab w:val="decimal" w:pos="1152"/>
                <w:tab w:val="right" w:pos="9180"/>
              </w:tabs>
            </w:pPr>
            <w:r>
              <w:tab/>
            </w:r>
            <w:r w:rsidR="00587925">
              <w:t>(83,716)</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2DE3315B" w:rsidR="002D627A" w:rsidRPr="000D3DC5" w:rsidRDefault="00767AC2" w:rsidP="002D627A">
            <w:pPr>
              <w:tabs>
                <w:tab w:val="decimal" w:pos="1332"/>
                <w:tab w:val="right" w:pos="9180"/>
              </w:tabs>
            </w:pPr>
            <w:r>
              <w:tab/>
            </w:r>
            <w:r w:rsidR="00587925">
              <w:t>283,341</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118422D6" w:rsidR="002D627A" w:rsidRPr="000D3DC5" w:rsidRDefault="006E7CF8" w:rsidP="002D627A">
            <w:pPr>
              <w:tabs>
                <w:tab w:val="decimal" w:pos="1152"/>
                <w:tab w:val="right" w:pos="9180"/>
              </w:tabs>
            </w:pPr>
            <w:r>
              <w:tab/>
            </w:r>
            <w:r w:rsidR="00587925">
              <w:t>259,701</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77777777"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4DC2400E" w:rsidR="002D627A" w:rsidRPr="000D3DC5" w:rsidRDefault="00767AC2" w:rsidP="002D627A">
            <w:pPr>
              <w:tabs>
                <w:tab w:val="decimal" w:pos="1332"/>
                <w:tab w:val="right" w:pos="9180"/>
              </w:tabs>
            </w:pPr>
            <w:r>
              <w:t>$</w:t>
            </w:r>
            <w:r>
              <w:tab/>
            </w:r>
            <w:r w:rsidR="00E53694">
              <w:t>221,807</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6767C882" w:rsidR="002D627A" w:rsidRPr="000D3DC5" w:rsidRDefault="006E7CF8" w:rsidP="002D627A">
            <w:pPr>
              <w:tabs>
                <w:tab w:val="decimal" w:pos="1152"/>
                <w:tab w:val="right" w:pos="9180"/>
              </w:tabs>
            </w:pPr>
            <w:r>
              <w:t>$</w:t>
            </w:r>
            <w:r>
              <w:tab/>
            </w:r>
            <w:r w:rsidR="00587925">
              <w:t>175,985</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6CEADA5F" w14:textId="37F38959" w:rsidR="003A2390" w:rsidRDefault="006E7D01" w:rsidP="00DF2BA6">
      <w:r w:rsidRPr="000D3DC5">
        <w:t xml:space="preserve">Supplemental disclosure of </w:t>
      </w:r>
      <w:r w:rsidR="00130959">
        <w:t xml:space="preserve">non-cash </w:t>
      </w:r>
      <w:r w:rsidR="000E5E04">
        <w:t xml:space="preserve">financing </w:t>
      </w:r>
      <w:r w:rsidR="00130959">
        <w:t>activities</w:t>
      </w:r>
      <w:r w:rsidRPr="000D3DC5">
        <w:t>:</w:t>
      </w:r>
    </w:p>
    <w:p w14:paraId="010DB6EC" w14:textId="13711C6A" w:rsidR="00587925" w:rsidRDefault="00587925" w:rsidP="002575DB">
      <w:pPr>
        <w:ind w:left="360"/>
      </w:pPr>
      <w:r>
        <w:t xml:space="preserve">During the three months ended March 31, 2020, </w:t>
      </w:r>
      <w:bookmarkStart w:id="9" w:name="_Hlk36563170"/>
      <w:r w:rsidR="00E53694">
        <w:t>1,686</w:t>
      </w:r>
      <w:r>
        <w:t xml:space="preserve"> shares of Series H Convertible Preferred Stock were converted into </w:t>
      </w:r>
      <w:r w:rsidR="00E53694">
        <w:t>9,393,937</w:t>
      </w:r>
      <w:r>
        <w:t xml:space="preserve"> shares of common stock </w:t>
      </w:r>
      <w:bookmarkEnd w:id="9"/>
      <w:r>
        <w:t xml:space="preserve">and </w:t>
      </w:r>
      <w:r w:rsidR="00E53694">
        <w:t xml:space="preserve">700 </w:t>
      </w:r>
      <w:r>
        <w:t xml:space="preserve">shares of Series I Convertible Preferred Stock were converted into </w:t>
      </w:r>
      <w:r w:rsidR="00E53694">
        <w:t>4,087,412</w:t>
      </w:r>
      <w:r>
        <w:t xml:space="preserve"> shares of common stock. </w:t>
      </w:r>
    </w:p>
    <w:p w14:paraId="08C859D0" w14:textId="36C3BA28" w:rsidR="00DF2BA6" w:rsidRDefault="0060682C" w:rsidP="002575DB">
      <w:pPr>
        <w:ind w:left="360"/>
      </w:pPr>
      <w:r>
        <w:t xml:space="preserve">During the three months ended March 31, 2019, </w:t>
      </w:r>
      <w:r w:rsidR="009B76ED">
        <w:t xml:space="preserve">1,563 shares of Series C Convertible Preferred Stock and 1,200 shares of Series E Convertible Preferred Stock were exchanged for 2,763 shares of Series F Convertible Preferred Stock, 250 shares of Series G Convertible Preferred Stock were issued in exchange for cancellation of $250,000 of term notes payable, </w:t>
      </w:r>
      <w:r>
        <w:t xml:space="preserve">587 shares of Series C Convertible Preferred Stock were converted into </w:t>
      </w:r>
      <w:r w:rsidR="00E53694">
        <w:t>39</w:t>
      </w:r>
      <w:r w:rsidR="00640348">
        <w:t xml:space="preserve"> </w:t>
      </w:r>
      <w:r>
        <w:t>shares of common stock</w:t>
      </w:r>
      <w:r w:rsidR="009B76ED">
        <w:t>,</w:t>
      </w:r>
      <w:r>
        <w:t xml:space="preserve"> and 180 shares of Series F Convertible Preferred Stock were converted into </w:t>
      </w:r>
      <w:r w:rsidR="00E53694">
        <w:t>20</w:t>
      </w:r>
      <w:r>
        <w:t xml:space="preserve"> shares of common stock</w:t>
      </w:r>
      <w:r w:rsidR="00A707C8">
        <w:t xml:space="preserve">. </w:t>
      </w:r>
    </w:p>
    <w:p w14:paraId="092A383D" w14:textId="77777777" w:rsidR="006E7D01" w:rsidRDefault="006E7D01"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11979B27" w14:textId="77777777" w:rsidR="006E7D01" w:rsidRDefault="006E7D01" w:rsidP="00277F5A"/>
    <w:p w14:paraId="0027ED88" w14:textId="77777777" w:rsidR="006E7D01" w:rsidRDefault="006E7D01" w:rsidP="00277F5A"/>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12F57B32" w:rsidR="00277F5A" w:rsidRDefault="00F415DC" w:rsidP="00277F5A">
      <w:pPr>
        <w:jc w:val="center"/>
        <w:rPr>
          <w:b/>
        </w:rPr>
      </w:pPr>
      <w:r>
        <w:rPr>
          <w:b/>
        </w:rPr>
        <w:t>March 31</w:t>
      </w:r>
      <w:r w:rsidR="00277F5A" w:rsidRPr="001C6303">
        <w:rPr>
          <w:b/>
        </w:rPr>
        <w:t>, 20</w:t>
      </w:r>
      <w:r w:rsidR="00CE1FF4">
        <w:rPr>
          <w:b/>
        </w:rPr>
        <w:t>20</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77777777" w:rsidR="00277F5A" w:rsidRPr="001C6303" w:rsidRDefault="00277F5A" w:rsidP="000A55AE">
      <w:pPr>
        <w:pStyle w:val="ListNumbering"/>
        <w:spacing w:after="0"/>
      </w:pPr>
      <w:r w:rsidRPr="001C6303">
        <w:t>1.</w:t>
      </w:r>
      <w:r w:rsidRPr="001C6303">
        <w:tab/>
        <w:t xml:space="preserve">Description of </w:t>
      </w:r>
      <w:r w:rsidR="0034148D">
        <w:t>Business</w:t>
      </w:r>
      <w:r w:rsidRPr="001C6303">
        <w:t xml:space="preserve"> </w:t>
      </w:r>
    </w:p>
    <w:p w14:paraId="24E71BAC" w14:textId="77777777" w:rsidR="000A55AE" w:rsidRDefault="000A55AE" w:rsidP="000A55AE"/>
    <w:p w14:paraId="002AFA3C" w14:textId="0F9F76EF" w:rsidR="00E576BB" w:rsidRPr="00E576BB" w:rsidRDefault="00E576BB" w:rsidP="00E576BB">
      <w:r w:rsidRPr="00E576BB">
        <w:t>GeoVax Labs, Inc. (“GeoVax” or the “Company”), is a clinical-stage biotechnology company developing human vaccines and immunotherapies against infectious diseases and cancers using a novel patented Modified Vaccinia Ankara</w:t>
      </w:r>
      <w:r w:rsidR="002D1A5A">
        <w:t xml:space="preserve"> (MVA)</w:t>
      </w:r>
      <w:r w:rsidRPr="00E576BB">
        <w:t xml:space="preserve"> Virus-Like Particle</w:t>
      </w:r>
      <w:r w:rsidR="002D1A5A">
        <w:t xml:space="preserve"> (VLP)</w:t>
      </w:r>
      <w:r w:rsidRPr="00E576BB">
        <w:t xml:space="preserve"> vaccine platform</w:t>
      </w:r>
      <w:r w:rsidR="002D1A5A">
        <w:t xml:space="preserve"> (GV-MVA-VLP</w:t>
      </w:r>
      <w:r w:rsidR="002D1A5A" w:rsidRPr="002D1A5A">
        <w:rPr>
          <w:vertAlign w:val="superscript"/>
        </w:rPr>
        <w:t>TM</w:t>
      </w:r>
      <w:r w:rsidR="002D1A5A">
        <w:t>)</w:t>
      </w:r>
      <w:r w:rsidRPr="00E576BB">
        <w:t>. In this platform, MVA, a large virus capable of carrying several vaccine antigens, expresses proteins that assemble into highly effective VLP immunogens in the person being vaccinated. The MVA-VLP virus replicates to high titers in approved avian cells for manufacturing but cannot productively replicate in mammalian cells. Therefore, the MVA-VLP derived vaccines elicit durable immune responses in the host similar to a live attenuated virus, while providing the safety characteristics of a replication-defective vector.</w:t>
      </w:r>
    </w:p>
    <w:p w14:paraId="0BCE7DE2" w14:textId="77777777" w:rsidR="00E576BB" w:rsidRPr="00E576BB" w:rsidRDefault="00E576BB" w:rsidP="00E576BB"/>
    <w:p w14:paraId="0BBFEF6B" w14:textId="30F09F15" w:rsidR="00E576BB" w:rsidRPr="00E576BB" w:rsidRDefault="00E576BB" w:rsidP="00E576BB">
      <w:r w:rsidRPr="00E576BB">
        <w:t>Our current development programs are focused on preventive vaccines against</w:t>
      </w:r>
      <w:r w:rsidR="002D1A5A">
        <w:t xml:space="preserve"> novel</w:t>
      </w:r>
      <w:r w:rsidRPr="00E576BB">
        <w:t xml:space="preserve"> coronavirus (COVID-19), Human Immunodeficiency Virus (HIV), Zika Virus, hemorrhagic fever viruses (Ebola, Sudan, Marburg, Lassa), and malaria, as well as therapeutic vaccines for chronic Hepatitis B infections and cancers. We believe our technology and vaccine development expertise are well-suited for a variety of human infectious diseases and we intend to pursue further expansion of our product pipeline. </w:t>
      </w:r>
    </w:p>
    <w:p w14:paraId="5D509315" w14:textId="77777777" w:rsidR="00E576BB" w:rsidRPr="00E576BB" w:rsidRDefault="00E576BB" w:rsidP="00E576BB"/>
    <w:p w14:paraId="4DBF4189" w14:textId="31259E90" w:rsidR="002D1A5A" w:rsidRPr="0025217A" w:rsidRDefault="002D1A5A" w:rsidP="002D1A5A">
      <w:r w:rsidRPr="0025217A">
        <w:t xml:space="preserve">Our corporate strategy is to improve the health of patients worldwide by advancing our vaccine platform, using its unique capabilities to design and develop an array of products addressing unmet medical needs in the areas of infectious diseases and oncology. We </w:t>
      </w:r>
      <w:r>
        <w:t>intend</w:t>
      </w:r>
      <w:r w:rsidRPr="0025217A">
        <w:t xml:space="preserve"> to advance products through to human clinical testing, and to seek partnership or licensing arrangements for commercialization. We also leverage third party resources through government, academic and corporate research collaborations and partnerships for preclinical and clinical testing.</w:t>
      </w:r>
    </w:p>
    <w:p w14:paraId="4048B00F" w14:textId="77777777" w:rsidR="00E576BB" w:rsidRPr="00E576BB" w:rsidRDefault="00E576BB" w:rsidP="00E576BB"/>
    <w:p w14:paraId="3F970C96" w14:textId="77777777" w:rsidR="00E576BB" w:rsidRPr="00E576BB" w:rsidRDefault="00E576BB" w:rsidP="00E576BB">
      <w:r w:rsidRPr="00E576BB">
        <w:t>Certain of our vaccine development activities have been, and continue to be, financially supported by the U.S. government. This support has been both in the form of research grants and contracts awarded directly to us, as well as indirect support for the conduct of preclinical animal studies and human clinical trials.</w:t>
      </w:r>
    </w:p>
    <w:p w14:paraId="20CAA7DE" w14:textId="77777777" w:rsidR="00E576BB" w:rsidRPr="00E576BB" w:rsidRDefault="00E576BB" w:rsidP="00E576BB"/>
    <w:p w14:paraId="1996AD2B" w14:textId="77777777" w:rsidR="00E576BB" w:rsidRPr="00E576BB" w:rsidRDefault="00E576BB" w:rsidP="00E576BB">
      <w:pPr>
        <w:autoSpaceDE w:val="0"/>
        <w:autoSpaceDN w:val="0"/>
        <w:adjustRightInd w:val="0"/>
      </w:pPr>
      <w:r w:rsidRPr="00E576BB">
        <w:t>We operate in a highly regulated and competitive environment. The manufacturing and marketing of pharmaceutical products require approval from, and are subject to, ongoing oversight by the Food and Drug Administration (FDA) in the United States, by the European Medicines Agency (EMA) in the European Union, and by comparable agencies in other countries. Obtaining approval for a new pharmaceutical product is never certain, may take many years and often involves expenditure of substantial resources. Our goal is to build a profitable company by generating income from products we develop and commercialize, either alone or with one or more potential strategic partners.</w:t>
      </w:r>
    </w:p>
    <w:p w14:paraId="7883BA35" w14:textId="77777777" w:rsidR="000A55AE" w:rsidRPr="000A55AE" w:rsidRDefault="000A55AE" w:rsidP="000A55AE">
      <w:pPr>
        <w:autoSpaceDE w:val="0"/>
        <w:autoSpaceDN w:val="0"/>
        <w:adjustRightInd w:val="0"/>
      </w:pPr>
    </w:p>
    <w:p w14:paraId="708B6914" w14:textId="42643746" w:rsidR="000A55AE" w:rsidRDefault="000A55AE" w:rsidP="000A55AE">
      <w:r w:rsidRPr="000A55AE">
        <w:t>GeoVax is incorporated under the laws of the State of Delaware and our principal offices are located in the metropolitan Atlanta, Georgia area.</w:t>
      </w:r>
    </w:p>
    <w:p w14:paraId="19A94C94" w14:textId="77777777" w:rsidR="000A55AE" w:rsidRPr="000A55AE" w:rsidRDefault="000A55AE" w:rsidP="000A55AE"/>
    <w:p w14:paraId="1D261932" w14:textId="77777777" w:rsidR="001939DD" w:rsidRPr="00161492" w:rsidRDefault="001939DD" w:rsidP="000A55AE">
      <w:pPr>
        <w:pStyle w:val="ListNumbering"/>
        <w:spacing w:after="0"/>
      </w:pPr>
      <w:r>
        <w:t>2</w:t>
      </w:r>
      <w:r w:rsidRPr="001C6303">
        <w:t>.</w:t>
      </w:r>
      <w:r w:rsidRPr="001C6303">
        <w:tab/>
        <w:t>Basis of Presentation</w:t>
      </w:r>
    </w:p>
    <w:p w14:paraId="6F4D8B74" w14:textId="77777777" w:rsidR="000A55AE" w:rsidRDefault="000A55AE" w:rsidP="000A55AE">
      <w:pPr>
        <w:pStyle w:val="BodyText"/>
        <w:spacing w:after="0"/>
      </w:pPr>
    </w:p>
    <w:p w14:paraId="59A1545A" w14:textId="2771CFAA" w:rsidR="005024A5" w:rsidRDefault="005024A5" w:rsidP="000A55AE">
      <w:pPr>
        <w:pStyle w:val="BodyText"/>
        <w:spacing w:after="0"/>
      </w:pPr>
      <w:r w:rsidRPr="00A840E6">
        <w:t>The accompanying</w:t>
      </w:r>
      <w:r w:rsidRPr="001C6303">
        <w:t xml:space="preserve"> </w:t>
      </w:r>
      <w:r w:rsidR="008B3D62">
        <w:t xml:space="preserve">condensed consolidated </w:t>
      </w:r>
      <w:r w:rsidRPr="001C6303">
        <w:t xml:space="preserve">financial statements at </w:t>
      </w:r>
      <w:r w:rsidR="00F415DC">
        <w:t>March 31</w:t>
      </w:r>
      <w:r w:rsidRPr="001C6303">
        <w:t>,</w:t>
      </w:r>
      <w:r w:rsidR="00F415DC">
        <w:t xml:space="preserve"> 20</w:t>
      </w:r>
      <w:r w:rsidR="00E576BB">
        <w:t>20</w:t>
      </w:r>
      <w:r w:rsidRPr="001C6303">
        <w:t xml:space="preserve"> and for the three</w:t>
      </w:r>
      <w:r w:rsidR="00CC2136">
        <w:t>-</w:t>
      </w:r>
      <w:r>
        <w:t xml:space="preserve">month </w:t>
      </w:r>
      <w:r w:rsidRPr="001C6303">
        <w:t xml:space="preserve">periods ended </w:t>
      </w:r>
      <w:r w:rsidR="00E74795">
        <w:t>March 31</w:t>
      </w:r>
      <w:r w:rsidR="00F415DC">
        <w:t>, 20</w:t>
      </w:r>
      <w:r w:rsidR="00E576BB">
        <w:t>20</w:t>
      </w:r>
      <w:r w:rsidR="00F415DC">
        <w:t xml:space="preserve"> and 201</w:t>
      </w:r>
      <w:r w:rsidR="00E576BB">
        <w:t>9</w:t>
      </w:r>
      <w:r w:rsidRPr="001C6303">
        <w:t xml:space="preserve"> are unaudited, but include all adjustments, consisting of normal recurring entries, which we believe to be necessary for a fair presentation of the dates and periods presented.</w:t>
      </w:r>
      <w:r w:rsidR="007E7A7F">
        <w:t xml:space="preserve"> </w:t>
      </w:r>
      <w:r w:rsidRPr="001C6303">
        <w:t xml:space="preserve">Interim results are not necessarily indicative of results for a full year. The financial statements should be read in conjunction with our audited </w:t>
      </w:r>
      <w:r w:rsidR="00AD6B28">
        <w:t xml:space="preserve">consolidated </w:t>
      </w:r>
      <w:r w:rsidRPr="001C6303">
        <w:t xml:space="preserve">financial statements included in our Annual Report on Form 10-K for </w:t>
      </w:r>
      <w:r w:rsidR="00F415DC">
        <w:t>the year ended December 31, 201</w:t>
      </w:r>
      <w:r w:rsidR="00E576BB">
        <w:t>9</w:t>
      </w:r>
      <w:r w:rsidR="0077213F">
        <w:t xml:space="preserve">. </w:t>
      </w:r>
      <w:r>
        <w:t>We expect o</w:t>
      </w:r>
      <w:r w:rsidRPr="001C6303">
        <w:t>ur operating results to fluctua</w:t>
      </w:r>
      <w:r>
        <w:t>te for the foreseeable future; t</w:t>
      </w:r>
      <w:r w:rsidRPr="001C6303">
        <w:t xml:space="preserve">herefore, period-to-period comparisons should not be relied upon as predictive of the results in future periods. </w:t>
      </w:r>
    </w:p>
    <w:p w14:paraId="44EA382E" w14:textId="77777777" w:rsidR="00E576BB" w:rsidRPr="00C5141A" w:rsidRDefault="00E576BB" w:rsidP="00BE61F2">
      <w:pPr>
        <w:autoSpaceDE w:val="0"/>
        <w:autoSpaceDN w:val="0"/>
        <w:adjustRightInd w:val="0"/>
      </w:pPr>
    </w:p>
    <w:p w14:paraId="1D3EA59B" w14:textId="2B03151A" w:rsidR="00E576BB" w:rsidRPr="00E576BB" w:rsidRDefault="00E576BB" w:rsidP="00E576BB">
      <w:pPr>
        <w:autoSpaceDE w:val="0"/>
        <w:autoSpaceDN w:val="0"/>
        <w:adjustRightInd w:val="0"/>
      </w:pPr>
      <w:r w:rsidRPr="00E576BB">
        <w:t>As described in Not</w:t>
      </w:r>
      <w:r>
        <w:t xml:space="preserve">e </w:t>
      </w:r>
      <w:r w:rsidR="002D1A5A">
        <w:t>9</w:t>
      </w:r>
      <w:r w:rsidRPr="00E576BB">
        <w:t>, effective April 30, 2019, we enacted a one-for-five hundred reverse stock split of our common stock, and effective January 21, 2020, we further enacted a one-for-two thousand reverse split.  The accompanying financial statements, and all share and per share information contained herein, have been retroactively restated to reflect the reverse stock splits.</w:t>
      </w:r>
    </w:p>
    <w:p w14:paraId="4EF76CE3" w14:textId="77777777" w:rsidR="000A55AE" w:rsidRDefault="000A55AE" w:rsidP="000A55AE">
      <w:pPr>
        <w:pStyle w:val="BodyText"/>
        <w:spacing w:after="0"/>
      </w:pPr>
    </w:p>
    <w:p w14:paraId="1D2DDB96" w14:textId="4F012577" w:rsidR="001B548C" w:rsidRDefault="00297C39" w:rsidP="000A55AE">
      <w:pPr>
        <w:autoSpaceDE w:val="0"/>
        <w:autoSpaceDN w:val="0"/>
        <w:adjustRightInd w:val="0"/>
      </w:pPr>
      <w:r>
        <w:t>Our</w:t>
      </w:r>
      <w:r w:rsidR="001B548C">
        <w:t xml:space="preserve"> </w:t>
      </w:r>
      <w:r w:rsidR="001B548C" w:rsidRPr="001C6303">
        <w:t xml:space="preserve">financial statements </w:t>
      </w:r>
      <w:r w:rsidR="001B548C">
        <w:t>have been prepared assuming that we will continue as a going concern, which contemplates realization of assets and the satisfaction of liabilities in the normal course</w:t>
      </w:r>
      <w:r w:rsidR="001B548C" w:rsidRPr="00645890">
        <w:t xml:space="preserve"> </w:t>
      </w:r>
      <w:r w:rsidR="001B548C">
        <w:t>of business for the twelve-month period following the date of th</w:t>
      </w:r>
      <w:r>
        <w:t>e</w:t>
      </w:r>
      <w:r w:rsidR="001B548C">
        <w:t xml:space="preserve"> financial statements.  W</w:t>
      </w:r>
      <w:r w:rsidR="001B548C" w:rsidRPr="00EB7BF0">
        <w:t>e are devoting substantially all of our present effort</w:t>
      </w:r>
      <w:r>
        <w:t xml:space="preserve">s to research and </w:t>
      </w:r>
      <w:r>
        <w:lastRenderedPageBreak/>
        <w:t>development</w:t>
      </w:r>
      <w:r w:rsidR="0030310F">
        <w:t xml:space="preserve"> of our vaccine candidates</w:t>
      </w:r>
      <w:r>
        <w:t xml:space="preserve">. </w:t>
      </w:r>
      <w:r w:rsidR="001B548C" w:rsidRPr="00EB7BF0">
        <w:t xml:space="preserve">We have funded our activities to date </w:t>
      </w:r>
      <w:r w:rsidR="001B548C">
        <w:t>from</w:t>
      </w:r>
      <w:r w:rsidR="001B548C" w:rsidRPr="00EB7BF0">
        <w:t xml:space="preserve"> government grants</w:t>
      </w:r>
      <w:r w:rsidR="001B548C">
        <w:t xml:space="preserve"> and clinical trial assistance, and from sales of our equity securities. W</w:t>
      </w:r>
      <w:r w:rsidR="001B548C" w:rsidRPr="00EB7BF0">
        <w:t xml:space="preserve">e will continue to require substantial funds to continue these activities.  </w:t>
      </w:r>
    </w:p>
    <w:p w14:paraId="7A072B9B" w14:textId="77777777" w:rsidR="002A36E7" w:rsidRDefault="002A36E7" w:rsidP="000A55AE">
      <w:pPr>
        <w:autoSpaceDE w:val="0"/>
        <w:autoSpaceDN w:val="0"/>
        <w:adjustRightInd w:val="0"/>
      </w:pPr>
    </w:p>
    <w:p w14:paraId="6C4D66AD" w14:textId="61D18492" w:rsidR="00C5141A" w:rsidRDefault="00C5141A" w:rsidP="00C5141A">
      <w:pPr>
        <w:autoSpaceDE w:val="0"/>
        <w:autoSpaceDN w:val="0"/>
        <w:adjustRightInd w:val="0"/>
      </w:pPr>
      <w:r w:rsidRPr="00C5141A">
        <w:t>We believe that our existing cash resources</w:t>
      </w:r>
      <w:r w:rsidR="00B53172">
        <w:t xml:space="preserve"> </w:t>
      </w:r>
      <w:r w:rsidR="00B53172" w:rsidRPr="00074805">
        <w:t>together with our</w:t>
      </w:r>
      <w:r w:rsidRPr="00074805">
        <w:t xml:space="preserve"> government </w:t>
      </w:r>
      <w:r w:rsidR="00B53172" w:rsidRPr="00074805">
        <w:t xml:space="preserve">and collaborative </w:t>
      </w:r>
      <w:r w:rsidRPr="00074805">
        <w:t xml:space="preserve">funding commitments, will be sufficient to continue our planned operations into the </w:t>
      </w:r>
      <w:r w:rsidR="00B53172" w:rsidRPr="00074805">
        <w:t>third quarter of 2020</w:t>
      </w:r>
      <w:r w:rsidRPr="00074805">
        <w:t>. Due to our history of operating losses and our continuing need for capital to conduct our research and development activities</w:t>
      </w:r>
      <w:r w:rsidRPr="00C5141A">
        <w:t>, there is substantial doubt concerning our ability to operate as a going concern beyond that date. We are currently exploring sources of capital through additional government grants and corporate collaborations. We also intend to secure additional funds through sales of our equity securities or by other means. Management believes that we will be successful in securing the additional capital required to continue the Company’s planned operations, but that our plans do not fully alleviate the substantial doubt about the Company’s ability to operate as a going concern. Additional funding may not be available on favorable terms or at all. If we fail to obtain additional capital when needed, we will be required to delay, scale back, or eliminate some or all of our research and development programs as well as reduce our general and administrative expenses.</w:t>
      </w:r>
    </w:p>
    <w:p w14:paraId="48BF6569" w14:textId="77777777" w:rsidR="000A55AE" w:rsidRPr="00685606" w:rsidRDefault="000A55AE" w:rsidP="000A55AE">
      <w:pPr>
        <w:autoSpaceDE w:val="0"/>
        <w:autoSpaceDN w:val="0"/>
        <w:adjustRightInd w:val="0"/>
      </w:pPr>
    </w:p>
    <w:p w14:paraId="5A3D11E9" w14:textId="77777777" w:rsidR="00797EE1" w:rsidRPr="001C6303" w:rsidRDefault="00284352" w:rsidP="000A55AE">
      <w:pPr>
        <w:pStyle w:val="ListNumbering"/>
        <w:spacing w:after="0"/>
      </w:pPr>
      <w:r>
        <w:t>3</w:t>
      </w:r>
      <w:r w:rsidR="00797EE1" w:rsidRPr="001C6303">
        <w:t>.</w:t>
      </w:r>
      <w:r w:rsidR="00797EE1" w:rsidRPr="001C6303">
        <w:tab/>
      </w:r>
      <w:r w:rsidR="001939DD">
        <w:t xml:space="preserve">Significant Accounting Policies and </w:t>
      </w:r>
      <w:r w:rsidR="005024F5">
        <w:t>Recent Accounting Pronouncements</w:t>
      </w:r>
    </w:p>
    <w:p w14:paraId="7850B150" w14:textId="77777777" w:rsidR="000A55AE" w:rsidRDefault="000A55AE" w:rsidP="000A55AE">
      <w:pPr>
        <w:pStyle w:val="BodyText"/>
        <w:spacing w:after="0"/>
      </w:pPr>
    </w:p>
    <w:p w14:paraId="73E4EB1D" w14:textId="55351282" w:rsidR="001939DD" w:rsidRDefault="001939DD" w:rsidP="000A55AE">
      <w:pPr>
        <w:pStyle w:val="BodyText"/>
        <w:spacing w:after="0"/>
      </w:pPr>
      <w:r>
        <w:t>We</w:t>
      </w:r>
      <w:r w:rsidRPr="001C6303">
        <w:t xml:space="preserve"> disclosed in Note 2 to </w:t>
      </w:r>
      <w:r>
        <w:t>our</w:t>
      </w:r>
      <w:r w:rsidR="00AD6B28">
        <w:t xml:space="preserve"> consolidated</w:t>
      </w:r>
      <w:r w:rsidRPr="001C6303">
        <w:t xml:space="preserve"> financial statements included in </w:t>
      </w:r>
      <w:r>
        <w:t>our Annual Report on</w:t>
      </w:r>
      <w:r w:rsidRPr="001C6303">
        <w:t xml:space="preserve"> Form 10-K for </w:t>
      </w:r>
      <w:r w:rsidR="00F415DC">
        <w:t>the year ended December 31, 201</w:t>
      </w:r>
      <w:r w:rsidR="00E576BB">
        <w:t>9</w:t>
      </w:r>
      <w:r w:rsidRPr="001C6303">
        <w:t xml:space="preserve"> those accounting policies that </w:t>
      </w:r>
      <w:r>
        <w:t>we consider</w:t>
      </w:r>
      <w:r w:rsidRPr="001C6303">
        <w:t xml:space="preserve"> significant in determining </w:t>
      </w:r>
      <w:r>
        <w:t>our</w:t>
      </w:r>
      <w:r w:rsidRPr="001C6303">
        <w:t xml:space="preserve"> results of oper</w:t>
      </w:r>
      <w:r w:rsidR="000251EA">
        <w:t xml:space="preserve">ations and financial position. </w:t>
      </w:r>
      <w:r w:rsidR="000F0F0D">
        <w:t>Other than as described below, t</w:t>
      </w:r>
      <w:r w:rsidRPr="001C6303">
        <w:t xml:space="preserve">here have been no material changes to, or in the application of, the accounting policies previously identified </w:t>
      </w:r>
      <w:r>
        <w:t>and described in the Form 10-K.</w:t>
      </w:r>
    </w:p>
    <w:p w14:paraId="7B4620A2" w14:textId="77777777" w:rsidR="00EC1997" w:rsidRDefault="00EC1997" w:rsidP="000A55AE"/>
    <w:p w14:paraId="587402D3" w14:textId="5A279144" w:rsidR="006B69BF" w:rsidRDefault="00BA1860" w:rsidP="000A55AE">
      <w:pPr>
        <w:pStyle w:val="BodyText"/>
        <w:spacing w:after="0"/>
      </w:pPr>
      <w:r>
        <w:t>T</w:t>
      </w:r>
      <w:r w:rsidRPr="005F0851">
        <w:t xml:space="preserve">here have been no </w:t>
      </w:r>
      <w:r w:rsidR="009736ED">
        <w:t xml:space="preserve">other </w:t>
      </w:r>
      <w:r w:rsidRPr="005F0851">
        <w:t>recent accounting pronouncements or changes in accounting pronouncements during</w:t>
      </w:r>
      <w:r>
        <w:t xml:space="preserve"> the </w:t>
      </w:r>
      <w:r w:rsidR="00F415DC">
        <w:t>three</w:t>
      </w:r>
      <w:r>
        <w:t xml:space="preserve"> months ended </w:t>
      </w:r>
      <w:r w:rsidR="00F415DC">
        <w:t>March 31</w:t>
      </w:r>
      <w:r w:rsidR="006B69BF">
        <w:t>,</w:t>
      </w:r>
      <w:r w:rsidR="00F415DC">
        <w:t xml:space="preserve"> 20</w:t>
      </w:r>
      <w:r w:rsidR="00E576BB">
        <w:t>20</w:t>
      </w:r>
      <w:r w:rsidRPr="005F0851">
        <w:t xml:space="preserve">, as compared to the recent accounting </w:t>
      </w:r>
      <w:r w:rsidR="00BD0DB6">
        <w:t xml:space="preserve">pronouncements described in our </w:t>
      </w:r>
      <w:r w:rsidR="00DC085C">
        <w:t>Annual Report on Form 10</w:t>
      </w:r>
      <w:r w:rsidR="002A3612">
        <w:noBreakHyphen/>
      </w:r>
      <w:r w:rsidRPr="005F0851">
        <w:t>K for t</w:t>
      </w:r>
      <w:r>
        <w:t>he fiscal year ended December 31</w:t>
      </w:r>
      <w:r w:rsidR="00F415DC">
        <w:t>, 201</w:t>
      </w:r>
      <w:r w:rsidR="00E576BB">
        <w:t>9</w:t>
      </w:r>
      <w:r w:rsidRPr="005F0851">
        <w:t xml:space="preserve">, </w:t>
      </w:r>
      <w:r w:rsidR="00EB1FBB">
        <w:t>which</w:t>
      </w:r>
      <w:r w:rsidR="00EB1FBB" w:rsidRPr="005F0851">
        <w:t xml:space="preserve"> </w:t>
      </w:r>
      <w:r w:rsidR="00BD0DB6">
        <w:t>we expect</w:t>
      </w:r>
      <w:r w:rsidR="003A0C0D">
        <w:t xml:space="preserve"> to have a material impact on </w:t>
      </w:r>
      <w:r w:rsidR="00BD0DB6">
        <w:t>our</w:t>
      </w:r>
      <w:r w:rsidR="003A0C0D">
        <w:t xml:space="preserve"> financial </w:t>
      </w:r>
      <w:r w:rsidR="003A0C0D" w:rsidRPr="006D35E3">
        <w:t>statements</w:t>
      </w:r>
      <w:r w:rsidR="0093359E" w:rsidRPr="006D35E3">
        <w:t>.</w:t>
      </w:r>
    </w:p>
    <w:p w14:paraId="6BE5DAEC" w14:textId="77777777" w:rsidR="000A55AE" w:rsidRDefault="000A55AE" w:rsidP="000A55AE">
      <w:pPr>
        <w:pStyle w:val="BodyText"/>
        <w:spacing w:after="0"/>
      </w:pPr>
    </w:p>
    <w:p w14:paraId="759D2E38" w14:textId="77777777" w:rsidR="0016206A" w:rsidRPr="001C6303" w:rsidRDefault="009157AA" w:rsidP="000A55AE">
      <w:pPr>
        <w:pStyle w:val="ListNumbering"/>
        <w:spacing w:after="0"/>
      </w:pPr>
      <w:bookmarkStart w:id="10" w:name="_Hlk510617695"/>
      <w:r>
        <w:t>4</w:t>
      </w:r>
      <w:r w:rsidR="0016206A" w:rsidRPr="001C6303">
        <w:t>.</w:t>
      </w:r>
      <w:r w:rsidR="0016206A" w:rsidRPr="001C6303">
        <w:tab/>
        <w:t>Basic and Diluted Loss Per Common Share</w:t>
      </w:r>
    </w:p>
    <w:p w14:paraId="3970968F" w14:textId="77777777" w:rsidR="000A55AE" w:rsidRDefault="000A55AE" w:rsidP="000A55AE">
      <w:pPr>
        <w:pStyle w:val="BodyText"/>
        <w:spacing w:after="0"/>
      </w:pPr>
    </w:p>
    <w:p w14:paraId="6F26A2C8" w14:textId="688943FB" w:rsidR="00E576BB" w:rsidRPr="00E576BB" w:rsidRDefault="00E576BB" w:rsidP="00E576BB">
      <w:pPr>
        <w:rPr>
          <w:b/>
        </w:rPr>
      </w:pPr>
      <w:bookmarkStart w:id="11" w:name="_Hlk5353616"/>
      <w:r w:rsidRPr="00E576BB">
        <w:t xml:space="preserve">Basic and diluted loss per common share are computed based on the weighted average number of common shares outstanding. Common share equivalents consist of common shares issuable upon conversion of convertible preferred stock, and upon exercise of stock options and stock purchase warrants. All common share equivalents are excluded from the computation of diluted loss per share since the effect would be anti-dilutive. The weighted </w:t>
      </w:r>
      <w:r w:rsidRPr="002D1A5A">
        <w:t xml:space="preserve">average number of common share equivalents which were excluded from the computation of diluted loss per share, totaled </w:t>
      </w:r>
      <w:r w:rsidR="0065681E">
        <w:t>970,571</w:t>
      </w:r>
      <w:r w:rsidRPr="002D1A5A">
        <w:t xml:space="preserve"> and </w:t>
      </w:r>
      <w:r w:rsidR="002D1A5A" w:rsidRPr="002D1A5A">
        <w:t>295</w:t>
      </w:r>
      <w:r w:rsidRPr="002D1A5A">
        <w:t xml:space="preserve"> shares at March 31, 2020 and 2019, respectively. See Note </w:t>
      </w:r>
      <w:r w:rsidR="00B53172" w:rsidRPr="002D1A5A">
        <w:t>9</w:t>
      </w:r>
      <w:r w:rsidRPr="002D1A5A">
        <w:t xml:space="preserve"> for more information concerning our outstanding</w:t>
      </w:r>
      <w:r w:rsidRPr="00E576BB">
        <w:t xml:space="preserve"> common share equivalents at </w:t>
      </w:r>
      <w:r>
        <w:t>March</w:t>
      </w:r>
      <w:r w:rsidRPr="00E576BB">
        <w:t xml:space="preserve"> 31, 20</w:t>
      </w:r>
      <w:r>
        <w:t>20</w:t>
      </w:r>
      <w:r w:rsidRPr="00E576BB">
        <w:t xml:space="preserve"> that could potentially dilute earnings per share in the future.</w:t>
      </w:r>
    </w:p>
    <w:p w14:paraId="11EADC99" w14:textId="77777777" w:rsidR="00E576BB" w:rsidRDefault="00E576BB" w:rsidP="000A55AE">
      <w:pPr>
        <w:pStyle w:val="BodyText"/>
        <w:spacing w:after="0"/>
      </w:pPr>
    </w:p>
    <w:bookmarkEnd w:id="10"/>
    <w:bookmarkEnd w:id="11"/>
    <w:p w14:paraId="50DCA41C" w14:textId="77777777" w:rsidR="0081657E" w:rsidRDefault="00881E20" w:rsidP="000A55AE">
      <w:pPr>
        <w:pStyle w:val="ListNumbering"/>
        <w:spacing w:after="0"/>
      </w:pPr>
      <w:r>
        <w:t>5</w:t>
      </w:r>
      <w:r w:rsidR="004B5B77" w:rsidRPr="001C6303">
        <w:t>.</w:t>
      </w:r>
      <w:r w:rsidR="004B5B77" w:rsidRPr="001C6303">
        <w:tab/>
      </w:r>
      <w:r w:rsidR="008D72F6">
        <w:t>Property and E</w:t>
      </w:r>
      <w:r w:rsidR="009157AA">
        <w:t>quipment</w:t>
      </w:r>
    </w:p>
    <w:p w14:paraId="77CC3818" w14:textId="77777777" w:rsidR="000A55AE" w:rsidRDefault="000A55AE" w:rsidP="000A55AE">
      <w:pPr>
        <w:pStyle w:val="BodyText"/>
        <w:spacing w:after="0"/>
      </w:pPr>
    </w:p>
    <w:p w14:paraId="3B90AC60" w14:textId="200EE6DD" w:rsidR="0081657E" w:rsidRPr="001C6303" w:rsidRDefault="009157AA" w:rsidP="000A55AE">
      <w:pPr>
        <w:pStyle w:val="BodyText"/>
        <w:spacing w:after="0"/>
      </w:pPr>
      <w:r>
        <w:t>Property and equipment as shown on the accompanying Condensed Consolidated Balance Sheets is composed of th</w:t>
      </w:r>
      <w:r w:rsidR="0085417A">
        <w:t xml:space="preserve">e following as of </w:t>
      </w:r>
      <w:r w:rsidR="00F415DC">
        <w:t>March 31, 20</w:t>
      </w:r>
      <w:r w:rsidR="00E576BB">
        <w:t>20</w:t>
      </w:r>
      <w:r w:rsidR="00F415DC">
        <w:t xml:space="preserve"> and December 31, 201</w:t>
      </w:r>
      <w:r w:rsidR="00E576BB">
        <w:t>9</w:t>
      </w:r>
      <w:r>
        <w:t>:</w:t>
      </w:r>
    </w:p>
    <w:tbl>
      <w:tblPr>
        <w:tblW w:w="0" w:type="auto"/>
        <w:tblInd w:w="198" w:type="dxa"/>
        <w:tblLook w:val="04A0" w:firstRow="1" w:lastRow="0" w:firstColumn="1" w:lastColumn="0" w:noHBand="0" w:noVBand="1"/>
      </w:tblPr>
      <w:tblGrid>
        <w:gridCol w:w="6055"/>
        <w:gridCol w:w="1842"/>
        <w:gridCol w:w="1841"/>
      </w:tblGrid>
      <w:tr w:rsidR="004B5B77" w:rsidRPr="00EB7BF0" w14:paraId="58E3F206" w14:textId="77777777" w:rsidTr="002B05F2">
        <w:tc>
          <w:tcPr>
            <w:tcW w:w="6055" w:type="dxa"/>
          </w:tcPr>
          <w:p w14:paraId="3831AF6C" w14:textId="77777777" w:rsidR="0081657E" w:rsidRPr="00EB7BF0" w:rsidRDefault="0081657E" w:rsidP="000A55AE"/>
        </w:tc>
        <w:tc>
          <w:tcPr>
            <w:tcW w:w="1842" w:type="dxa"/>
            <w:tcBorders>
              <w:bottom w:val="single" w:sz="4" w:space="0" w:color="auto"/>
            </w:tcBorders>
          </w:tcPr>
          <w:p w14:paraId="6523A630" w14:textId="1AECB3AE" w:rsidR="00B06A21" w:rsidRDefault="00F415DC" w:rsidP="000A55AE">
            <w:pPr>
              <w:jc w:val="center"/>
            </w:pPr>
            <w:r>
              <w:t>March 31</w:t>
            </w:r>
            <w:r w:rsidR="00B06A21">
              <w:t>,</w:t>
            </w:r>
          </w:p>
          <w:p w14:paraId="23AB651E" w14:textId="20101564" w:rsidR="004B5B77" w:rsidRPr="00EB7BF0" w:rsidRDefault="004B5B77" w:rsidP="000A55AE">
            <w:pPr>
              <w:jc w:val="center"/>
            </w:pPr>
            <w:r>
              <w:t>20</w:t>
            </w:r>
            <w:r w:rsidR="00E576BB">
              <w:t>20</w:t>
            </w:r>
          </w:p>
        </w:tc>
        <w:tc>
          <w:tcPr>
            <w:tcW w:w="1841" w:type="dxa"/>
            <w:tcBorders>
              <w:bottom w:val="single" w:sz="4" w:space="0" w:color="auto"/>
            </w:tcBorders>
          </w:tcPr>
          <w:p w14:paraId="0152F609" w14:textId="77777777" w:rsidR="00B06A21" w:rsidRDefault="00B06A21" w:rsidP="000A55AE">
            <w:pPr>
              <w:jc w:val="center"/>
            </w:pPr>
            <w:r>
              <w:t>December 31,</w:t>
            </w:r>
          </w:p>
          <w:p w14:paraId="66B56B58" w14:textId="0E66A13B" w:rsidR="004B5B77" w:rsidRPr="00EB7BF0" w:rsidRDefault="00B06A21" w:rsidP="000A55AE">
            <w:pPr>
              <w:jc w:val="center"/>
            </w:pPr>
            <w:r>
              <w:t>201</w:t>
            </w:r>
            <w:r w:rsidR="00E576BB">
              <w:t>9</w:t>
            </w:r>
          </w:p>
        </w:tc>
      </w:tr>
      <w:tr w:rsidR="004B5B77" w:rsidRPr="00EB7BF0" w14:paraId="7654121A" w14:textId="77777777" w:rsidTr="002B05F2">
        <w:tc>
          <w:tcPr>
            <w:tcW w:w="6055" w:type="dxa"/>
          </w:tcPr>
          <w:p w14:paraId="3BC8BA6E" w14:textId="77777777" w:rsidR="004B5B77" w:rsidRPr="00EB7BF0" w:rsidRDefault="004B5B77" w:rsidP="000A55AE">
            <w:pPr>
              <w:ind w:left="162"/>
            </w:pPr>
            <w:r w:rsidRPr="00EB7BF0">
              <w:t>Laboratory equipment</w:t>
            </w:r>
          </w:p>
        </w:tc>
        <w:tc>
          <w:tcPr>
            <w:tcW w:w="1842" w:type="dxa"/>
          </w:tcPr>
          <w:p w14:paraId="1EA4D72B" w14:textId="5C09B1EF" w:rsidR="004B5B77" w:rsidRPr="00FA15F9" w:rsidRDefault="004B5B77" w:rsidP="000A55AE">
            <w:pPr>
              <w:tabs>
                <w:tab w:val="decimal" w:pos="1332"/>
              </w:tabs>
            </w:pPr>
            <w:r w:rsidRPr="00FA15F9">
              <w:t>$</w:t>
            </w:r>
            <w:r w:rsidR="00685606" w:rsidRPr="00FA15F9">
              <w:t xml:space="preserve"> </w:t>
            </w:r>
            <w:r w:rsidRPr="00FA15F9">
              <w:t xml:space="preserve">  </w:t>
            </w:r>
            <w:r w:rsidR="00D127E4">
              <w:t>53</w:t>
            </w:r>
            <w:r w:rsidR="002D1A5A">
              <w:t>4</w:t>
            </w:r>
            <w:r w:rsidR="00D127E4">
              <w:t>,577</w:t>
            </w:r>
          </w:p>
        </w:tc>
        <w:tc>
          <w:tcPr>
            <w:tcW w:w="1841" w:type="dxa"/>
          </w:tcPr>
          <w:p w14:paraId="34DF51DB" w14:textId="61222214" w:rsidR="004B5B77" w:rsidRPr="00EB7BF0" w:rsidRDefault="00B06A21" w:rsidP="000A55AE">
            <w:pPr>
              <w:tabs>
                <w:tab w:val="decimal" w:pos="1287"/>
              </w:tabs>
            </w:pPr>
            <w:r>
              <w:t xml:space="preserve">$   </w:t>
            </w:r>
            <w:r w:rsidR="00E576BB">
              <w:t>534,577</w:t>
            </w:r>
          </w:p>
        </w:tc>
      </w:tr>
      <w:tr w:rsidR="004B5B77" w:rsidRPr="00EB7BF0" w14:paraId="10536CC3" w14:textId="77777777" w:rsidTr="002B05F2">
        <w:tc>
          <w:tcPr>
            <w:tcW w:w="6055" w:type="dxa"/>
          </w:tcPr>
          <w:p w14:paraId="12475D98" w14:textId="77777777" w:rsidR="004B5B77" w:rsidRPr="00EB7BF0" w:rsidRDefault="004B5B77" w:rsidP="000A55AE">
            <w:pPr>
              <w:ind w:left="162"/>
            </w:pPr>
            <w:r w:rsidRPr="00EB7BF0">
              <w:t>Leasehold improvements</w:t>
            </w:r>
          </w:p>
        </w:tc>
        <w:tc>
          <w:tcPr>
            <w:tcW w:w="1842" w:type="dxa"/>
          </w:tcPr>
          <w:p w14:paraId="56DE444B" w14:textId="6B9B0290" w:rsidR="004B5B77" w:rsidRPr="00FA15F9" w:rsidRDefault="00D127E4" w:rsidP="000A55AE">
            <w:pPr>
              <w:tabs>
                <w:tab w:val="decimal" w:pos="1332"/>
              </w:tabs>
            </w:pPr>
            <w:r>
              <w:t>115,605</w:t>
            </w:r>
          </w:p>
        </w:tc>
        <w:tc>
          <w:tcPr>
            <w:tcW w:w="1841" w:type="dxa"/>
          </w:tcPr>
          <w:p w14:paraId="27EED44E" w14:textId="0C3764FF" w:rsidR="004B5B77" w:rsidRPr="00EB7BF0" w:rsidRDefault="00B06A21" w:rsidP="000A55AE">
            <w:pPr>
              <w:tabs>
                <w:tab w:val="decimal" w:pos="1287"/>
              </w:tabs>
            </w:pPr>
            <w:r>
              <w:t>1</w:t>
            </w:r>
            <w:r w:rsidR="00E576BB">
              <w:t>15,605</w:t>
            </w:r>
          </w:p>
        </w:tc>
      </w:tr>
      <w:tr w:rsidR="004B5B77" w:rsidRPr="00EB7BF0" w14:paraId="1AAB25BD" w14:textId="77777777" w:rsidTr="002B05F2">
        <w:tc>
          <w:tcPr>
            <w:tcW w:w="6055" w:type="dxa"/>
          </w:tcPr>
          <w:p w14:paraId="6B801FB2" w14:textId="77777777" w:rsidR="004B5B77" w:rsidRPr="00EB7BF0" w:rsidRDefault="004B5B77" w:rsidP="000A55AE">
            <w:pPr>
              <w:ind w:left="162"/>
            </w:pPr>
            <w:r w:rsidRPr="00EB7BF0">
              <w:t>Other furniture, fixtures &amp; equipment</w:t>
            </w:r>
          </w:p>
        </w:tc>
        <w:tc>
          <w:tcPr>
            <w:tcW w:w="1842" w:type="dxa"/>
            <w:tcBorders>
              <w:bottom w:val="single" w:sz="4" w:space="0" w:color="auto"/>
            </w:tcBorders>
          </w:tcPr>
          <w:p w14:paraId="2D4CEBF9" w14:textId="462C394F" w:rsidR="004B5B77" w:rsidRPr="00FA15F9" w:rsidRDefault="00D127E4" w:rsidP="000A55AE">
            <w:pPr>
              <w:tabs>
                <w:tab w:val="decimal" w:pos="1332"/>
              </w:tabs>
            </w:pPr>
            <w:r>
              <w:t>11,736</w:t>
            </w:r>
          </w:p>
        </w:tc>
        <w:tc>
          <w:tcPr>
            <w:tcW w:w="1841" w:type="dxa"/>
            <w:tcBorders>
              <w:bottom w:val="single" w:sz="4" w:space="0" w:color="auto"/>
            </w:tcBorders>
          </w:tcPr>
          <w:p w14:paraId="7B05701E" w14:textId="2849C8A1" w:rsidR="004B5B77" w:rsidRPr="00EB7BF0" w:rsidRDefault="00E576BB" w:rsidP="000A55AE">
            <w:pPr>
              <w:tabs>
                <w:tab w:val="decimal" w:pos="1287"/>
              </w:tabs>
            </w:pPr>
            <w:r>
              <w:t>11,736</w:t>
            </w:r>
          </w:p>
        </w:tc>
      </w:tr>
      <w:tr w:rsidR="004B5B77" w:rsidRPr="00EB7BF0" w14:paraId="7058B047" w14:textId="77777777" w:rsidTr="002B05F2">
        <w:tc>
          <w:tcPr>
            <w:tcW w:w="6055" w:type="dxa"/>
          </w:tcPr>
          <w:p w14:paraId="32D37A6F" w14:textId="77777777" w:rsidR="004B5B77" w:rsidRPr="00EB7BF0" w:rsidRDefault="004B5B77" w:rsidP="000A55AE">
            <w:pPr>
              <w:ind w:left="162"/>
            </w:pPr>
            <w:r w:rsidRPr="00EB7BF0">
              <w:t>Total property and equipment</w:t>
            </w:r>
          </w:p>
        </w:tc>
        <w:tc>
          <w:tcPr>
            <w:tcW w:w="1842" w:type="dxa"/>
            <w:tcBorders>
              <w:top w:val="single" w:sz="4" w:space="0" w:color="auto"/>
            </w:tcBorders>
          </w:tcPr>
          <w:p w14:paraId="760CC5B2" w14:textId="3394B503" w:rsidR="004B5B77" w:rsidRPr="00FA15F9" w:rsidRDefault="00D127E4" w:rsidP="000A55AE">
            <w:pPr>
              <w:tabs>
                <w:tab w:val="decimal" w:pos="1332"/>
              </w:tabs>
            </w:pPr>
            <w:r>
              <w:t>661,918</w:t>
            </w:r>
          </w:p>
        </w:tc>
        <w:tc>
          <w:tcPr>
            <w:tcW w:w="1841" w:type="dxa"/>
            <w:tcBorders>
              <w:top w:val="single" w:sz="4" w:space="0" w:color="auto"/>
            </w:tcBorders>
          </w:tcPr>
          <w:p w14:paraId="6309218B" w14:textId="33A7FD5F" w:rsidR="004B5B77" w:rsidRPr="00EB7BF0" w:rsidRDefault="00E576BB" w:rsidP="000A55AE">
            <w:pPr>
              <w:tabs>
                <w:tab w:val="decimal" w:pos="1287"/>
              </w:tabs>
            </w:pPr>
            <w:r>
              <w:t>661,918</w:t>
            </w:r>
          </w:p>
        </w:tc>
      </w:tr>
      <w:tr w:rsidR="004B5B77" w:rsidRPr="00452D3C" w14:paraId="60DF5069" w14:textId="77777777" w:rsidTr="002B05F2">
        <w:tc>
          <w:tcPr>
            <w:tcW w:w="6055" w:type="dxa"/>
          </w:tcPr>
          <w:p w14:paraId="156F8B62" w14:textId="77777777" w:rsidR="004B5B77" w:rsidRPr="00452D3C" w:rsidRDefault="004B5B77" w:rsidP="000A55AE">
            <w:pPr>
              <w:ind w:left="162"/>
            </w:pPr>
            <w:r w:rsidRPr="00452D3C">
              <w:t>Accumulated depreciation and amortization</w:t>
            </w:r>
          </w:p>
        </w:tc>
        <w:tc>
          <w:tcPr>
            <w:tcW w:w="1842" w:type="dxa"/>
            <w:tcBorders>
              <w:bottom w:val="single" w:sz="4" w:space="0" w:color="auto"/>
            </w:tcBorders>
          </w:tcPr>
          <w:p w14:paraId="7342DE2E" w14:textId="3794D962" w:rsidR="004B5B77" w:rsidRPr="00FA15F9" w:rsidRDefault="000467AD" w:rsidP="000A55AE">
            <w:pPr>
              <w:tabs>
                <w:tab w:val="decimal" w:pos="1332"/>
              </w:tabs>
            </w:pPr>
            <w:r>
              <w:t>(</w:t>
            </w:r>
            <w:r w:rsidR="00D127E4">
              <w:t>652,306</w:t>
            </w:r>
            <w:r>
              <w:t>)</w:t>
            </w:r>
          </w:p>
        </w:tc>
        <w:tc>
          <w:tcPr>
            <w:tcW w:w="1841" w:type="dxa"/>
            <w:tcBorders>
              <w:bottom w:val="single" w:sz="4" w:space="0" w:color="auto"/>
            </w:tcBorders>
          </w:tcPr>
          <w:p w14:paraId="675271A9" w14:textId="3D91DEEA" w:rsidR="004B5B77" w:rsidRPr="00452D3C" w:rsidRDefault="00F415DC" w:rsidP="000A55AE">
            <w:pPr>
              <w:tabs>
                <w:tab w:val="decimal" w:pos="1287"/>
              </w:tabs>
            </w:pPr>
            <w:r>
              <w:t>(</w:t>
            </w:r>
            <w:r w:rsidR="00E576BB">
              <w:t>651,312</w:t>
            </w:r>
            <w:r w:rsidR="004B5B77" w:rsidRPr="00452D3C">
              <w:t>)</w:t>
            </w:r>
          </w:p>
        </w:tc>
      </w:tr>
      <w:tr w:rsidR="004B5B77" w:rsidRPr="00EB7BF0" w14:paraId="367CE2C7" w14:textId="77777777" w:rsidTr="002B05F2">
        <w:tc>
          <w:tcPr>
            <w:tcW w:w="6055" w:type="dxa"/>
          </w:tcPr>
          <w:p w14:paraId="721CBB2F" w14:textId="77777777" w:rsidR="004B5B77" w:rsidRPr="00452D3C" w:rsidRDefault="004B5B77" w:rsidP="000A55AE">
            <w:pPr>
              <w:ind w:left="162"/>
            </w:pPr>
            <w:r w:rsidRPr="00452D3C">
              <w:t>Property and equipment, net</w:t>
            </w:r>
          </w:p>
        </w:tc>
        <w:tc>
          <w:tcPr>
            <w:tcW w:w="1842" w:type="dxa"/>
            <w:tcBorders>
              <w:top w:val="single" w:sz="4" w:space="0" w:color="auto"/>
              <w:bottom w:val="double" w:sz="4" w:space="0" w:color="auto"/>
            </w:tcBorders>
          </w:tcPr>
          <w:p w14:paraId="5346019E" w14:textId="5B8D03F5" w:rsidR="004B5B77" w:rsidRPr="00FA15F9" w:rsidRDefault="00B06A21" w:rsidP="000A55AE">
            <w:pPr>
              <w:tabs>
                <w:tab w:val="decimal" w:pos="1332"/>
              </w:tabs>
            </w:pPr>
            <w:r w:rsidRPr="00FA15F9">
              <w:t xml:space="preserve">$ </w:t>
            </w:r>
            <w:r w:rsidR="005776D5">
              <w:t xml:space="preserve"> </w:t>
            </w:r>
            <w:r w:rsidRPr="00FA15F9">
              <w:t xml:space="preserve">  </w:t>
            </w:r>
            <w:r w:rsidR="00D127E4">
              <w:t>9,612</w:t>
            </w:r>
          </w:p>
        </w:tc>
        <w:tc>
          <w:tcPr>
            <w:tcW w:w="1841" w:type="dxa"/>
            <w:tcBorders>
              <w:top w:val="single" w:sz="4" w:space="0" w:color="auto"/>
              <w:bottom w:val="double" w:sz="4" w:space="0" w:color="auto"/>
            </w:tcBorders>
          </w:tcPr>
          <w:p w14:paraId="3FB8FADE" w14:textId="0A7EE76C" w:rsidR="004B5B77" w:rsidRPr="00EB7BF0" w:rsidRDefault="00B06A21" w:rsidP="000A55AE">
            <w:pPr>
              <w:tabs>
                <w:tab w:val="decimal" w:pos="1287"/>
              </w:tabs>
            </w:pPr>
            <w:r w:rsidRPr="00452D3C">
              <w:t xml:space="preserve">$   </w:t>
            </w:r>
            <w:r w:rsidR="009157AA" w:rsidRPr="00452D3C">
              <w:t xml:space="preserve"> </w:t>
            </w:r>
            <w:r w:rsidR="002B05F2">
              <w:t xml:space="preserve"> </w:t>
            </w:r>
            <w:r w:rsidR="00E576BB">
              <w:t>10,606</w:t>
            </w:r>
          </w:p>
        </w:tc>
      </w:tr>
    </w:tbl>
    <w:p w14:paraId="55D101AD" w14:textId="77777777" w:rsidR="000A55AE" w:rsidRDefault="000A55AE" w:rsidP="000A55AE">
      <w:pPr>
        <w:pStyle w:val="BodyText"/>
        <w:spacing w:after="0"/>
      </w:pPr>
    </w:p>
    <w:p w14:paraId="03CEE78D" w14:textId="77777777" w:rsidR="005922F5" w:rsidRDefault="005922F5">
      <w:pPr>
        <w:rPr>
          <w:b/>
        </w:rPr>
      </w:pPr>
      <w:r>
        <w:br w:type="page"/>
      </w:r>
    </w:p>
    <w:p w14:paraId="7014B4BF" w14:textId="1D63415A" w:rsidR="002B05F2" w:rsidRDefault="002B05F2" w:rsidP="000A55AE">
      <w:pPr>
        <w:pStyle w:val="ListNumbering"/>
        <w:spacing w:after="0"/>
      </w:pPr>
      <w:r>
        <w:lastRenderedPageBreak/>
        <w:t>6</w:t>
      </w:r>
      <w:r w:rsidRPr="001C6303">
        <w:t>.</w:t>
      </w:r>
      <w:r w:rsidRPr="001C6303">
        <w:tab/>
      </w:r>
      <w:r>
        <w:t>Accrued Expenses</w:t>
      </w:r>
    </w:p>
    <w:p w14:paraId="275B29E8" w14:textId="77777777" w:rsidR="000A55AE" w:rsidRDefault="000A55AE" w:rsidP="000A55AE">
      <w:pPr>
        <w:pStyle w:val="BodyText"/>
        <w:spacing w:after="0"/>
      </w:pPr>
    </w:p>
    <w:p w14:paraId="6566F606" w14:textId="09A36904" w:rsidR="000E74A1" w:rsidRPr="000E74A1" w:rsidRDefault="000E74A1" w:rsidP="000A55AE">
      <w:pPr>
        <w:pStyle w:val="BodyText"/>
        <w:spacing w:after="0"/>
      </w:pPr>
      <w:r>
        <w:t xml:space="preserve">Accrued expenses as shown on the accompanying Condensed Consolidated Balance Sheets is composed of the following as of </w:t>
      </w:r>
      <w:r w:rsidR="009941FA">
        <w:t>March 31, 20</w:t>
      </w:r>
      <w:r w:rsidR="00717940">
        <w:t>20</w:t>
      </w:r>
      <w:r w:rsidR="009941FA">
        <w:t xml:space="preserve"> and December 31, 201</w:t>
      </w:r>
      <w:r w:rsidR="00717940">
        <w:t>9</w:t>
      </w:r>
      <w:r>
        <w:t>:</w:t>
      </w:r>
    </w:p>
    <w:tbl>
      <w:tblPr>
        <w:tblW w:w="0" w:type="auto"/>
        <w:tblInd w:w="198" w:type="dxa"/>
        <w:tblLook w:val="04A0" w:firstRow="1" w:lastRow="0" w:firstColumn="1" w:lastColumn="0" w:noHBand="0" w:noVBand="1"/>
      </w:tblPr>
      <w:tblGrid>
        <w:gridCol w:w="6055"/>
        <w:gridCol w:w="1842"/>
        <w:gridCol w:w="1841"/>
      </w:tblGrid>
      <w:tr w:rsidR="002B05F2" w:rsidRPr="00EB7BF0" w14:paraId="0260BBDA" w14:textId="77777777" w:rsidTr="002B05F2">
        <w:tc>
          <w:tcPr>
            <w:tcW w:w="6055" w:type="dxa"/>
          </w:tcPr>
          <w:p w14:paraId="39F94116" w14:textId="77777777" w:rsidR="000E74A1" w:rsidRPr="00EB7BF0" w:rsidRDefault="000E74A1" w:rsidP="000A55AE"/>
        </w:tc>
        <w:tc>
          <w:tcPr>
            <w:tcW w:w="1842" w:type="dxa"/>
            <w:tcBorders>
              <w:bottom w:val="single" w:sz="4" w:space="0" w:color="auto"/>
            </w:tcBorders>
          </w:tcPr>
          <w:p w14:paraId="2A42BAF7" w14:textId="51E070D3" w:rsidR="002B05F2" w:rsidRDefault="009941FA" w:rsidP="000A55AE">
            <w:pPr>
              <w:jc w:val="center"/>
            </w:pPr>
            <w:r>
              <w:t>March 31</w:t>
            </w:r>
            <w:r w:rsidR="002B05F2">
              <w:t>,</w:t>
            </w:r>
          </w:p>
          <w:p w14:paraId="5D0B64A1" w14:textId="55256D50" w:rsidR="002B05F2" w:rsidRPr="00EB7BF0" w:rsidRDefault="002B05F2" w:rsidP="000A55AE">
            <w:pPr>
              <w:jc w:val="center"/>
            </w:pPr>
            <w:r>
              <w:t>20</w:t>
            </w:r>
            <w:r w:rsidR="00717940">
              <w:t>20</w:t>
            </w:r>
          </w:p>
        </w:tc>
        <w:tc>
          <w:tcPr>
            <w:tcW w:w="1841" w:type="dxa"/>
            <w:tcBorders>
              <w:bottom w:val="single" w:sz="4" w:space="0" w:color="auto"/>
            </w:tcBorders>
          </w:tcPr>
          <w:p w14:paraId="19205898" w14:textId="77777777" w:rsidR="002B05F2" w:rsidRDefault="002B05F2" w:rsidP="000A55AE">
            <w:pPr>
              <w:jc w:val="center"/>
            </w:pPr>
            <w:r>
              <w:t>December 31,</w:t>
            </w:r>
          </w:p>
          <w:p w14:paraId="08F38C79" w14:textId="74143528" w:rsidR="002B05F2" w:rsidRPr="00EB7BF0" w:rsidRDefault="002B05F2" w:rsidP="000A55AE">
            <w:pPr>
              <w:jc w:val="center"/>
            </w:pPr>
            <w:r>
              <w:t>201</w:t>
            </w:r>
            <w:r w:rsidR="00717940">
              <w:t>9</w:t>
            </w:r>
          </w:p>
        </w:tc>
      </w:tr>
      <w:tr w:rsidR="002B05F2" w:rsidRPr="00EB7BF0" w14:paraId="62D03BE8" w14:textId="77777777" w:rsidTr="002B05F2">
        <w:tc>
          <w:tcPr>
            <w:tcW w:w="6055" w:type="dxa"/>
          </w:tcPr>
          <w:p w14:paraId="54134F05" w14:textId="4E897147" w:rsidR="002B05F2" w:rsidRPr="00EB7BF0" w:rsidRDefault="002B05F2" w:rsidP="000A55AE">
            <w:pPr>
              <w:ind w:left="162"/>
            </w:pPr>
            <w:r>
              <w:t xml:space="preserve">Accrued </w:t>
            </w:r>
            <w:r w:rsidR="00775DD0">
              <w:t xml:space="preserve">management </w:t>
            </w:r>
            <w:r>
              <w:t>salaries</w:t>
            </w:r>
          </w:p>
        </w:tc>
        <w:tc>
          <w:tcPr>
            <w:tcW w:w="1842" w:type="dxa"/>
          </w:tcPr>
          <w:p w14:paraId="03CB4ED6" w14:textId="5445CD35" w:rsidR="002B05F2" w:rsidRPr="001A4CBD" w:rsidRDefault="009941FA" w:rsidP="000A55AE">
            <w:pPr>
              <w:tabs>
                <w:tab w:val="decimal" w:pos="1199"/>
              </w:tabs>
            </w:pPr>
            <w:r>
              <w:t xml:space="preserve">$ </w:t>
            </w:r>
            <w:r w:rsidR="00A14727">
              <w:t>1,418,797</w:t>
            </w:r>
          </w:p>
        </w:tc>
        <w:tc>
          <w:tcPr>
            <w:tcW w:w="1841" w:type="dxa"/>
          </w:tcPr>
          <w:p w14:paraId="299C0DF5" w14:textId="33073ABB" w:rsidR="002B05F2" w:rsidRPr="00EB7BF0" w:rsidRDefault="002B05F2" w:rsidP="000A55AE">
            <w:pPr>
              <w:tabs>
                <w:tab w:val="decimal" w:pos="1157"/>
              </w:tabs>
            </w:pPr>
            <w:r>
              <w:t>$</w:t>
            </w:r>
            <w:r w:rsidR="00C67C3F">
              <w:t xml:space="preserve"> </w:t>
            </w:r>
            <w:r w:rsidR="00717940">
              <w:t>1,323,483</w:t>
            </w:r>
          </w:p>
        </w:tc>
      </w:tr>
      <w:tr w:rsidR="002B05F2" w:rsidRPr="00EB7BF0" w14:paraId="303A0569" w14:textId="77777777" w:rsidTr="002B05F2">
        <w:tc>
          <w:tcPr>
            <w:tcW w:w="6055" w:type="dxa"/>
          </w:tcPr>
          <w:p w14:paraId="69970D31" w14:textId="77777777" w:rsidR="002B05F2" w:rsidRPr="00EB7BF0" w:rsidRDefault="002B05F2" w:rsidP="000A55AE">
            <w:pPr>
              <w:ind w:left="162"/>
            </w:pPr>
            <w:r>
              <w:t>Accrued directors’ fees</w:t>
            </w:r>
          </w:p>
        </w:tc>
        <w:tc>
          <w:tcPr>
            <w:tcW w:w="1842" w:type="dxa"/>
          </w:tcPr>
          <w:p w14:paraId="62E20FCD" w14:textId="464A56CB" w:rsidR="002B05F2" w:rsidRPr="001A4CBD" w:rsidRDefault="00A14727" w:rsidP="000A55AE">
            <w:pPr>
              <w:tabs>
                <w:tab w:val="decimal" w:pos="1199"/>
              </w:tabs>
            </w:pPr>
            <w:r>
              <w:t>436,920</w:t>
            </w:r>
          </w:p>
        </w:tc>
        <w:tc>
          <w:tcPr>
            <w:tcW w:w="1841" w:type="dxa"/>
          </w:tcPr>
          <w:p w14:paraId="1585271B" w14:textId="6C4EE9DD" w:rsidR="002B05F2" w:rsidRPr="00EB7BF0" w:rsidRDefault="00717940" w:rsidP="000A55AE">
            <w:pPr>
              <w:tabs>
                <w:tab w:val="decimal" w:pos="1157"/>
              </w:tabs>
            </w:pPr>
            <w:r>
              <w:t>409,219</w:t>
            </w:r>
          </w:p>
        </w:tc>
      </w:tr>
      <w:tr w:rsidR="002B05F2" w:rsidRPr="00452D3C" w14:paraId="71F07EDF" w14:textId="77777777" w:rsidTr="002B05F2">
        <w:tc>
          <w:tcPr>
            <w:tcW w:w="6055" w:type="dxa"/>
          </w:tcPr>
          <w:p w14:paraId="3CEE5560" w14:textId="4675CA19" w:rsidR="002B05F2" w:rsidRPr="00452D3C" w:rsidRDefault="002B05F2" w:rsidP="000A55AE">
            <w:pPr>
              <w:ind w:left="162"/>
            </w:pPr>
            <w:r>
              <w:t>Other</w:t>
            </w:r>
            <w:r w:rsidR="00775DD0">
              <w:t xml:space="preserve"> accrued expenses</w:t>
            </w:r>
          </w:p>
        </w:tc>
        <w:tc>
          <w:tcPr>
            <w:tcW w:w="1842" w:type="dxa"/>
            <w:tcBorders>
              <w:bottom w:val="single" w:sz="4" w:space="0" w:color="auto"/>
            </w:tcBorders>
          </w:tcPr>
          <w:p w14:paraId="1E4E219D" w14:textId="2B644BE1" w:rsidR="002B05F2" w:rsidRPr="001A4CBD" w:rsidRDefault="00A14727" w:rsidP="000A55AE">
            <w:pPr>
              <w:tabs>
                <w:tab w:val="decimal" w:pos="1199"/>
              </w:tabs>
            </w:pPr>
            <w:r>
              <w:t>61,708</w:t>
            </w:r>
          </w:p>
        </w:tc>
        <w:tc>
          <w:tcPr>
            <w:tcW w:w="1841" w:type="dxa"/>
            <w:tcBorders>
              <w:bottom w:val="single" w:sz="4" w:space="0" w:color="auto"/>
            </w:tcBorders>
          </w:tcPr>
          <w:p w14:paraId="366C406E" w14:textId="14067B76" w:rsidR="002B05F2" w:rsidRPr="00452D3C" w:rsidRDefault="00717940" w:rsidP="000A55AE">
            <w:pPr>
              <w:tabs>
                <w:tab w:val="decimal" w:pos="1157"/>
              </w:tabs>
            </w:pPr>
            <w:r>
              <w:t>118,338</w:t>
            </w:r>
          </w:p>
        </w:tc>
      </w:tr>
      <w:tr w:rsidR="002B05F2" w:rsidRPr="00EB7BF0" w14:paraId="5DE2A726" w14:textId="77777777" w:rsidTr="002B05F2">
        <w:tc>
          <w:tcPr>
            <w:tcW w:w="6055" w:type="dxa"/>
          </w:tcPr>
          <w:p w14:paraId="324012B8" w14:textId="77777777" w:rsidR="002B05F2" w:rsidRPr="00452D3C" w:rsidRDefault="002B05F2" w:rsidP="000A55AE">
            <w:pPr>
              <w:ind w:left="162"/>
            </w:pPr>
            <w:r>
              <w:t>Total accrued expenses</w:t>
            </w:r>
          </w:p>
        </w:tc>
        <w:tc>
          <w:tcPr>
            <w:tcW w:w="1842" w:type="dxa"/>
            <w:tcBorders>
              <w:top w:val="single" w:sz="4" w:space="0" w:color="auto"/>
              <w:bottom w:val="double" w:sz="4" w:space="0" w:color="auto"/>
            </w:tcBorders>
          </w:tcPr>
          <w:p w14:paraId="5F1AF149" w14:textId="14DE58B3" w:rsidR="002B05F2" w:rsidRPr="001A4CBD" w:rsidRDefault="009941FA" w:rsidP="000A55AE">
            <w:pPr>
              <w:tabs>
                <w:tab w:val="decimal" w:pos="1199"/>
              </w:tabs>
            </w:pPr>
            <w:r>
              <w:t xml:space="preserve">$ </w:t>
            </w:r>
            <w:r w:rsidR="00A14727">
              <w:t>1,917,425</w:t>
            </w:r>
          </w:p>
        </w:tc>
        <w:tc>
          <w:tcPr>
            <w:tcW w:w="1841" w:type="dxa"/>
            <w:tcBorders>
              <w:top w:val="single" w:sz="4" w:space="0" w:color="auto"/>
              <w:bottom w:val="double" w:sz="4" w:space="0" w:color="auto"/>
            </w:tcBorders>
          </w:tcPr>
          <w:p w14:paraId="27A7728F" w14:textId="48F3260A" w:rsidR="002B05F2" w:rsidRPr="00EB7BF0" w:rsidRDefault="009941FA" w:rsidP="000A55AE">
            <w:pPr>
              <w:tabs>
                <w:tab w:val="decimal" w:pos="1157"/>
              </w:tabs>
            </w:pPr>
            <w:r>
              <w:t xml:space="preserve">$ </w:t>
            </w:r>
            <w:r w:rsidR="00717940">
              <w:t>1,851,040</w:t>
            </w:r>
          </w:p>
        </w:tc>
      </w:tr>
    </w:tbl>
    <w:p w14:paraId="3A7C2485" w14:textId="77777777" w:rsidR="000A55AE" w:rsidRDefault="000A55AE" w:rsidP="000A55AE">
      <w:pPr>
        <w:pStyle w:val="BodyText"/>
        <w:spacing w:after="0"/>
      </w:pPr>
    </w:p>
    <w:p w14:paraId="318042A1" w14:textId="7F949E36" w:rsidR="00346823" w:rsidRPr="001C6303" w:rsidRDefault="00346823" w:rsidP="000A55AE">
      <w:pPr>
        <w:pStyle w:val="ListNumbering"/>
        <w:spacing w:after="0"/>
      </w:pPr>
      <w:r>
        <w:t>7</w:t>
      </w:r>
      <w:r w:rsidRPr="001C6303">
        <w:t>.</w:t>
      </w:r>
      <w:r w:rsidRPr="001C6303">
        <w:tab/>
      </w:r>
      <w:r>
        <w:t>Note</w:t>
      </w:r>
      <w:r w:rsidR="00C5141A">
        <w:t>s</w:t>
      </w:r>
      <w:r>
        <w:t xml:space="preserve"> Payable</w:t>
      </w:r>
    </w:p>
    <w:p w14:paraId="190B619F" w14:textId="77777777" w:rsidR="000A55AE" w:rsidRDefault="000A55AE" w:rsidP="000A55AE">
      <w:pPr>
        <w:suppressAutoHyphens/>
        <w:spacing w:line="240" w:lineRule="exact"/>
        <w:rPr>
          <w:rFonts w:ascii="CG Times (WN)" w:hAnsi="CG Times (WN)"/>
        </w:rPr>
      </w:pPr>
      <w:bookmarkStart w:id="12" w:name="_Hlk511052867"/>
    </w:p>
    <w:p w14:paraId="78272D87" w14:textId="60908A38" w:rsidR="00C5141A" w:rsidRPr="00C5141A" w:rsidRDefault="00C5141A" w:rsidP="00C5141A">
      <w:pPr>
        <w:suppressAutoHyphens/>
        <w:spacing w:line="240" w:lineRule="exact"/>
        <w:rPr>
          <w:rFonts w:ascii="CG Times (WN)" w:hAnsi="CG Times (WN)"/>
        </w:rPr>
      </w:pPr>
      <w:bookmarkStart w:id="13" w:name="_Hlk536784938"/>
      <w:bookmarkEnd w:id="12"/>
      <w:r w:rsidRPr="00C5141A">
        <w:rPr>
          <w:rFonts w:ascii="CG Times (WN)" w:hAnsi="CG Times (WN)"/>
        </w:rPr>
        <w:t xml:space="preserve">On February 28, 2018, we entered into a Senior Note Purchase Agreement with Georgia Research Alliance, Inc. (GRA) pursuant to which we issued a five-year Senior Promissory Note (the “GRA Note”) to GRA in exchange for $50,000. The GRA Note bears an annual interest rate of 5%, payable monthly. </w:t>
      </w:r>
      <w:r w:rsidR="002D1A5A">
        <w:rPr>
          <w:rFonts w:ascii="CG Times (WN)" w:hAnsi="CG Times (WN)"/>
        </w:rPr>
        <w:t>Future p</w:t>
      </w:r>
      <w:r w:rsidRPr="00C5141A">
        <w:rPr>
          <w:rFonts w:ascii="CG Times (WN)" w:hAnsi="CG Times (WN)"/>
        </w:rPr>
        <w:t>rincipal repayments are expected to be $</w:t>
      </w:r>
      <w:r w:rsidR="00FD7FEB">
        <w:rPr>
          <w:rFonts w:ascii="CG Times (WN)" w:hAnsi="CG Times (WN)"/>
        </w:rPr>
        <w:t>8,</w:t>
      </w:r>
      <w:r w:rsidR="00CD2A74">
        <w:rPr>
          <w:rFonts w:ascii="CG Times (WN)" w:hAnsi="CG Times (WN)"/>
        </w:rPr>
        <w:t>96</w:t>
      </w:r>
      <w:r w:rsidR="00974832">
        <w:rPr>
          <w:rFonts w:ascii="CG Times (WN)" w:hAnsi="CG Times (WN)"/>
        </w:rPr>
        <w:t>4</w:t>
      </w:r>
      <w:r w:rsidRPr="00C5141A">
        <w:rPr>
          <w:rFonts w:ascii="CG Times (WN)" w:hAnsi="CG Times (WN)"/>
        </w:rPr>
        <w:t xml:space="preserve"> </w:t>
      </w:r>
      <w:r>
        <w:rPr>
          <w:rFonts w:ascii="CG Times (WN)" w:hAnsi="CG Times (WN)"/>
        </w:rPr>
        <w:t>for the remainder of</w:t>
      </w:r>
      <w:r w:rsidRPr="00C5141A">
        <w:rPr>
          <w:rFonts w:ascii="CG Times (WN)" w:hAnsi="CG Times (WN)"/>
        </w:rPr>
        <w:t xml:space="preserve"> 20</w:t>
      </w:r>
      <w:r w:rsidR="00CD2A74">
        <w:rPr>
          <w:rFonts w:ascii="CG Times (WN)" w:hAnsi="CG Times (WN)"/>
        </w:rPr>
        <w:t>20</w:t>
      </w:r>
      <w:r w:rsidRPr="00C5141A">
        <w:rPr>
          <w:rFonts w:ascii="CG Times (WN)" w:hAnsi="CG Times (WN)"/>
        </w:rPr>
        <w:t xml:space="preserve"> $</w:t>
      </w:r>
      <w:r w:rsidR="00CD2A74">
        <w:rPr>
          <w:rFonts w:ascii="CG Times (WN)" w:hAnsi="CG Times (WN)"/>
        </w:rPr>
        <w:t>12,487</w:t>
      </w:r>
      <w:r w:rsidRPr="00C5141A">
        <w:rPr>
          <w:rFonts w:ascii="CG Times (WN)" w:hAnsi="CG Times (WN)"/>
        </w:rPr>
        <w:t xml:space="preserve"> in 202</w:t>
      </w:r>
      <w:r w:rsidR="00CD2A74">
        <w:rPr>
          <w:rFonts w:ascii="CG Times (WN)" w:hAnsi="CG Times (WN)"/>
        </w:rPr>
        <w:t>1</w:t>
      </w:r>
      <w:r w:rsidRPr="00C5141A">
        <w:rPr>
          <w:rFonts w:ascii="CG Times (WN)" w:hAnsi="CG Times (WN)"/>
        </w:rPr>
        <w:t xml:space="preserve">, </w:t>
      </w:r>
      <w:r w:rsidR="00CD2A74">
        <w:rPr>
          <w:rFonts w:ascii="CG Times (WN)" w:hAnsi="CG Times (WN)"/>
        </w:rPr>
        <w:t xml:space="preserve">$13,126 in </w:t>
      </w:r>
      <w:r w:rsidRPr="00C5141A">
        <w:rPr>
          <w:rFonts w:ascii="CG Times (WN)" w:hAnsi="CG Times (WN)"/>
        </w:rPr>
        <w:t>2022, and $2,</w:t>
      </w:r>
      <w:r w:rsidR="00CD2A74">
        <w:rPr>
          <w:rFonts w:ascii="CG Times (WN)" w:hAnsi="CG Times (WN)"/>
        </w:rPr>
        <w:t>252</w:t>
      </w:r>
      <w:r w:rsidRPr="00C5141A">
        <w:rPr>
          <w:rFonts w:ascii="CG Times (WN)" w:hAnsi="CG Times (WN)"/>
        </w:rPr>
        <w:t xml:space="preserve"> in 2023. Interest expense related to the GRA Note </w:t>
      </w:r>
      <w:bookmarkStart w:id="14" w:name="_Hlk5354743"/>
      <w:r w:rsidRPr="00C5141A">
        <w:rPr>
          <w:rFonts w:ascii="CG Times (WN)" w:hAnsi="CG Times (WN)"/>
        </w:rPr>
        <w:t xml:space="preserve">for </w:t>
      </w:r>
      <w:r>
        <w:rPr>
          <w:rFonts w:ascii="CG Times (WN)" w:hAnsi="CG Times (WN)"/>
        </w:rPr>
        <w:t>the three-month periods ended March 31, 20</w:t>
      </w:r>
      <w:r w:rsidR="00CD2A74">
        <w:rPr>
          <w:rFonts w:ascii="CG Times (WN)" w:hAnsi="CG Times (WN)"/>
        </w:rPr>
        <w:t>20</w:t>
      </w:r>
      <w:r>
        <w:rPr>
          <w:rFonts w:ascii="CG Times (WN)" w:hAnsi="CG Times (WN)"/>
        </w:rPr>
        <w:t xml:space="preserve"> and </w:t>
      </w:r>
      <w:r w:rsidRPr="00C5141A">
        <w:rPr>
          <w:rFonts w:ascii="CG Times (WN)" w:hAnsi="CG Times (WN)"/>
        </w:rPr>
        <w:t>201</w:t>
      </w:r>
      <w:r w:rsidR="00CD2A74">
        <w:rPr>
          <w:rFonts w:ascii="CG Times (WN)" w:hAnsi="CG Times (WN)"/>
        </w:rPr>
        <w:t>9</w:t>
      </w:r>
      <w:r w:rsidRPr="00C5141A">
        <w:rPr>
          <w:rFonts w:ascii="CG Times (WN)" w:hAnsi="CG Times (WN)"/>
        </w:rPr>
        <w:t xml:space="preserve"> was</w:t>
      </w:r>
      <w:r w:rsidR="00CD2A74">
        <w:rPr>
          <w:rFonts w:ascii="CG Times (WN)" w:hAnsi="CG Times (WN)"/>
        </w:rPr>
        <w:t xml:space="preserve"> $485</w:t>
      </w:r>
      <w:r w:rsidRPr="00C5141A">
        <w:rPr>
          <w:rFonts w:ascii="CG Times (WN)" w:hAnsi="CG Times (WN)"/>
        </w:rPr>
        <w:t xml:space="preserve"> </w:t>
      </w:r>
      <w:r w:rsidR="00CD2A74">
        <w:rPr>
          <w:rFonts w:ascii="CG Times (WN)" w:hAnsi="CG Times (WN)"/>
        </w:rPr>
        <w:t xml:space="preserve">and </w:t>
      </w:r>
      <w:r>
        <w:rPr>
          <w:rFonts w:ascii="CG Times (WN)" w:hAnsi="CG Times (WN)"/>
        </w:rPr>
        <w:t>$</w:t>
      </w:r>
      <w:r w:rsidR="00372D41">
        <w:rPr>
          <w:rFonts w:ascii="CG Times (WN)" w:hAnsi="CG Times (WN)"/>
        </w:rPr>
        <w:t>621</w:t>
      </w:r>
      <w:r>
        <w:rPr>
          <w:rFonts w:ascii="CG Times (WN)" w:hAnsi="CG Times (WN)"/>
        </w:rPr>
        <w:t>, respectively</w:t>
      </w:r>
      <w:bookmarkEnd w:id="14"/>
      <w:r w:rsidRPr="00C5141A">
        <w:rPr>
          <w:rFonts w:ascii="CG Times (WN)" w:hAnsi="CG Times (WN)"/>
        </w:rPr>
        <w:t>.</w:t>
      </w:r>
      <w:r>
        <w:rPr>
          <w:rFonts w:ascii="CG Times (WN)" w:hAnsi="CG Times (WN)"/>
        </w:rPr>
        <w:t xml:space="preserve"> </w:t>
      </w:r>
    </w:p>
    <w:bookmarkEnd w:id="13"/>
    <w:p w14:paraId="3C1120E1" w14:textId="77777777" w:rsidR="00C5141A" w:rsidRDefault="00C5141A" w:rsidP="000A55AE">
      <w:pPr>
        <w:pStyle w:val="BodyText"/>
        <w:spacing w:after="0"/>
      </w:pPr>
    </w:p>
    <w:p w14:paraId="5B33366B" w14:textId="64ACD6D1" w:rsidR="00723617" w:rsidRPr="001C6303" w:rsidRDefault="00346823" w:rsidP="000A55AE">
      <w:pPr>
        <w:pStyle w:val="ListNumbering"/>
        <w:spacing w:after="0"/>
      </w:pPr>
      <w:r w:rsidRPr="00B53172">
        <w:t>8</w:t>
      </w:r>
      <w:r w:rsidR="00723617" w:rsidRPr="00B53172">
        <w:t>.</w:t>
      </w:r>
      <w:r w:rsidR="00723617" w:rsidRPr="00B53172">
        <w:tab/>
        <w:t>Commitments</w:t>
      </w:r>
    </w:p>
    <w:p w14:paraId="61568E0F" w14:textId="562A3283" w:rsidR="000A55AE" w:rsidRDefault="000A55AE" w:rsidP="000A55AE">
      <w:pPr>
        <w:pStyle w:val="BodyText"/>
        <w:spacing w:after="0"/>
      </w:pPr>
      <w:bookmarkStart w:id="15" w:name="_Toc197922410"/>
    </w:p>
    <w:p w14:paraId="21237996" w14:textId="77777777" w:rsidR="00C20F8B" w:rsidRPr="00C20F8B" w:rsidRDefault="00C20F8B" w:rsidP="00C20F8B">
      <w:pPr>
        <w:rPr>
          <w:bCs/>
          <w:i/>
        </w:rPr>
      </w:pPr>
      <w:r w:rsidRPr="00C20F8B">
        <w:rPr>
          <w:i/>
        </w:rPr>
        <w:t>Lease Agreement</w:t>
      </w:r>
    </w:p>
    <w:p w14:paraId="68FC31A7" w14:textId="77777777" w:rsidR="00C20F8B" w:rsidRPr="00C20F8B" w:rsidRDefault="00C20F8B" w:rsidP="00C20F8B"/>
    <w:p w14:paraId="2E09BC6B" w14:textId="0CF3D97A" w:rsidR="00C20F8B" w:rsidRPr="00C20F8B" w:rsidRDefault="00C20F8B" w:rsidP="00C20F8B">
      <w:r w:rsidRPr="00C20F8B">
        <w:t>We lease approximately 8,400 square feet of office and laboratory space pursuant to an operating lease which expires on December 31, 20</w:t>
      </w:r>
      <w:r w:rsidR="00717940">
        <w:t>22</w:t>
      </w:r>
      <w:r w:rsidRPr="00C20F8B">
        <w:t xml:space="preserve">. Rent expense </w:t>
      </w:r>
      <w:r w:rsidRPr="00C5141A">
        <w:rPr>
          <w:rFonts w:ascii="CG Times (WN)" w:hAnsi="CG Times (WN)"/>
        </w:rPr>
        <w:t xml:space="preserve">for </w:t>
      </w:r>
      <w:r>
        <w:rPr>
          <w:rFonts w:ascii="CG Times (WN)" w:hAnsi="CG Times (WN)"/>
        </w:rPr>
        <w:t>the three-month periods ended March 31, 20</w:t>
      </w:r>
      <w:r w:rsidR="00717940">
        <w:rPr>
          <w:rFonts w:ascii="CG Times (WN)" w:hAnsi="CG Times (WN)"/>
        </w:rPr>
        <w:t>20</w:t>
      </w:r>
      <w:r>
        <w:rPr>
          <w:rFonts w:ascii="CG Times (WN)" w:hAnsi="CG Times (WN)"/>
        </w:rPr>
        <w:t xml:space="preserve"> and </w:t>
      </w:r>
      <w:r w:rsidRPr="00C5141A">
        <w:rPr>
          <w:rFonts w:ascii="CG Times (WN)" w:hAnsi="CG Times (WN)"/>
        </w:rPr>
        <w:t>201</w:t>
      </w:r>
      <w:r w:rsidR="00717940">
        <w:rPr>
          <w:rFonts w:ascii="CG Times (WN)" w:hAnsi="CG Times (WN)"/>
        </w:rPr>
        <w:t>9</w:t>
      </w:r>
      <w:r w:rsidRPr="00C5141A">
        <w:rPr>
          <w:rFonts w:ascii="CG Times (WN)" w:hAnsi="CG Times (WN)"/>
        </w:rPr>
        <w:t xml:space="preserve"> was </w:t>
      </w:r>
      <w:r>
        <w:rPr>
          <w:rFonts w:ascii="CG Times (WN)" w:hAnsi="CG Times (WN)"/>
        </w:rPr>
        <w:t>$</w:t>
      </w:r>
      <w:r w:rsidR="00B53172">
        <w:rPr>
          <w:rFonts w:ascii="CG Times (WN)" w:hAnsi="CG Times (WN)"/>
        </w:rPr>
        <w:t>41,539</w:t>
      </w:r>
      <w:r>
        <w:rPr>
          <w:rFonts w:ascii="CG Times (WN)" w:hAnsi="CG Times (WN)"/>
        </w:rPr>
        <w:t xml:space="preserve"> and </w:t>
      </w:r>
      <w:r w:rsidRPr="00C5141A">
        <w:rPr>
          <w:rFonts w:ascii="CG Times (WN)" w:hAnsi="CG Times (WN)"/>
        </w:rPr>
        <w:t>$</w:t>
      </w:r>
      <w:r w:rsidR="00717940">
        <w:rPr>
          <w:rFonts w:ascii="CG Times (WN)" w:hAnsi="CG Times (WN)"/>
        </w:rPr>
        <w:t>40,316</w:t>
      </w:r>
      <w:r>
        <w:rPr>
          <w:rFonts w:ascii="CG Times (WN)" w:hAnsi="CG Times (WN)"/>
        </w:rPr>
        <w:t>, respectively</w:t>
      </w:r>
      <w:r w:rsidRPr="00C20F8B">
        <w:t xml:space="preserve">. </w:t>
      </w:r>
      <w:r w:rsidR="00717940" w:rsidRPr="00EB7BF0">
        <w:t>Future minimum lease payments total $</w:t>
      </w:r>
      <w:r w:rsidR="00B53172">
        <w:t>124,616</w:t>
      </w:r>
      <w:r w:rsidR="00717940">
        <w:t xml:space="preserve"> in 2020, $171,213 in 2021 and $176,356 in 2022, although the lease may be terminated at any time by either party with ninety days written notice</w:t>
      </w:r>
      <w:r w:rsidR="00096E33">
        <w:t>.</w:t>
      </w:r>
    </w:p>
    <w:p w14:paraId="468E2C2A" w14:textId="77777777" w:rsidR="00C20F8B" w:rsidRPr="00C20F8B" w:rsidRDefault="00C20F8B" w:rsidP="00C20F8B">
      <w:pPr>
        <w:rPr>
          <w:bCs/>
        </w:rPr>
      </w:pPr>
    </w:p>
    <w:p w14:paraId="5741122F" w14:textId="77777777" w:rsidR="00C20F8B" w:rsidRPr="00C20F8B" w:rsidRDefault="00C20F8B" w:rsidP="00C20F8B">
      <w:pPr>
        <w:rPr>
          <w:bCs/>
          <w:i/>
        </w:rPr>
      </w:pPr>
      <w:r w:rsidRPr="00C20F8B">
        <w:rPr>
          <w:bCs/>
          <w:i/>
        </w:rPr>
        <w:t>Other Commitments</w:t>
      </w:r>
    </w:p>
    <w:p w14:paraId="7663877D" w14:textId="77777777" w:rsidR="00C20F8B" w:rsidRPr="00C20F8B" w:rsidRDefault="00C20F8B" w:rsidP="00C20F8B"/>
    <w:p w14:paraId="6351AE42" w14:textId="3DAF60C7" w:rsidR="00C20F8B" w:rsidRPr="00C20F8B" w:rsidRDefault="00C20F8B" w:rsidP="00C20F8B">
      <w:r w:rsidRPr="00C20F8B">
        <w:t xml:space="preserve">In the normal course of business, we enter into various firm purchase commitments related to production and testing of our vaccine, conduct of research studies, and other activities. As of </w:t>
      </w:r>
      <w:r>
        <w:t>March</w:t>
      </w:r>
      <w:r w:rsidRPr="00C20F8B">
        <w:t xml:space="preserve"> 31, 20</w:t>
      </w:r>
      <w:r w:rsidR="00717940">
        <w:t>20</w:t>
      </w:r>
      <w:r w:rsidRPr="00C20F8B">
        <w:t xml:space="preserve">, </w:t>
      </w:r>
      <w:r w:rsidR="00BE61F2">
        <w:t>there are</w:t>
      </w:r>
      <w:r w:rsidRPr="00C20F8B">
        <w:t xml:space="preserve"> approximately $</w:t>
      </w:r>
      <w:r w:rsidR="00B53172">
        <w:t>539,000</w:t>
      </w:r>
      <w:r w:rsidRPr="00C20F8B">
        <w:t xml:space="preserve"> of unrecorded outstanding purchase commitments to our vendors and subcontractors, all of which we expect will be due in 20</w:t>
      </w:r>
      <w:r w:rsidR="00717940">
        <w:t>20</w:t>
      </w:r>
      <w:r w:rsidRPr="00C20F8B">
        <w:t xml:space="preserve">. We expect this entire amount to be reimbursable to us pursuant to </w:t>
      </w:r>
      <w:r w:rsidR="00BE61F2">
        <w:t>existing</w:t>
      </w:r>
      <w:r w:rsidRPr="00C20F8B">
        <w:t xml:space="preserve"> government grants.</w:t>
      </w:r>
    </w:p>
    <w:p w14:paraId="4083F38F" w14:textId="77777777" w:rsidR="00C20F8B" w:rsidRDefault="00C20F8B" w:rsidP="000A55AE">
      <w:pPr>
        <w:pStyle w:val="BodyText"/>
        <w:spacing w:after="0"/>
      </w:pPr>
    </w:p>
    <w:p w14:paraId="17DCCEEA" w14:textId="7AEC72FF" w:rsidR="00881E20" w:rsidRDefault="00346823" w:rsidP="000A55AE">
      <w:pPr>
        <w:pStyle w:val="ListNumbering"/>
        <w:spacing w:after="0"/>
      </w:pPr>
      <w:r>
        <w:t>9</w:t>
      </w:r>
      <w:r w:rsidR="00881E20" w:rsidRPr="001C6303">
        <w:t>.</w:t>
      </w:r>
      <w:r w:rsidR="00881E20" w:rsidRPr="001C6303">
        <w:tab/>
      </w:r>
      <w:r w:rsidR="004008E8">
        <w:t>Stockholders’ Equit</w:t>
      </w:r>
      <w:r w:rsidR="00CE5648">
        <w:t>y</w:t>
      </w:r>
    </w:p>
    <w:p w14:paraId="075A9E6B" w14:textId="216E7315" w:rsidR="000A55AE" w:rsidRDefault="000A55AE" w:rsidP="000A55AE">
      <w:pPr>
        <w:pStyle w:val="BodyTitle"/>
        <w:spacing w:after="0"/>
      </w:pPr>
    </w:p>
    <w:p w14:paraId="318EA721" w14:textId="77777777" w:rsidR="00037DDA" w:rsidRPr="00037DDA" w:rsidRDefault="00037DDA" w:rsidP="00037DDA">
      <w:pPr>
        <w:rPr>
          <w:rFonts w:eastAsia="????"/>
          <w:i/>
          <w:iCs/>
        </w:rPr>
      </w:pPr>
      <w:r w:rsidRPr="00037DDA">
        <w:rPr>
          <w:rFonts w:eastAsia="????"/>
          <w:i/>
          <w:iCs/>
        </w:rPr>
        <w:t>Preferred Stock</w:t>
      </w:r>
    </w:p>
    <w:p w14:paraId="48AE6BBD" w14:textId="77777777" w:rsidR="00037DDA" w:rsidRPr="00037DDA" w:rsidRDefault="00037DDA" w:rsidP="00037DDA">
      <w:pPr>
        <w:rPr>
          <w:rFonts w:eastAsia="????"/>
        </w:rPr>
      </w:pPr>
    </w:p>
    <w:p w14:paraId="666807D3" w14:textId="66AC3AF9" w:rsidR="00037DDA" w:rsidRPr="00037DDA" w:rsidRDefault="00037DDA" w:rsidP="00037DDA">
      <w:pPr>
        <w:rPr>
          <w:rFonts w:eastAsia="????"/>
        </w:rPr>
      </w:pPr>
      <w:r w:rsidRPr="00037DDA">
        <w:rPr>
          <w:rFonts w:eastAsia="????"/>
          <w:i/>
          <w:iCs/>
        </w:rPr>
        <w:t>Summary</w:t>
      </w:r>
      <w:r w:rsidRPr="00037DDA">
        <w:rPr>
          <w:rFonts w:eastAsia="????"/>
        </w:rPr>
        <w:t xml:space="preserve"> -- We are authorized to issue up to 10,000,000 shares of our Preferred Stock, $.01 par value, which may be issued in one or more series.  The table below presents our issued and outstanding series of preferred stock as of</w:t>
      </w:r>
      <w:r>
        <w:rPr>
          <w:rFonts w:eastAsia="????"/>
        </w:rPr>
        <w:t xml:space="preserve"> March 31, 2020 and</w:t>
      </w:r>
      <w:r w:rsidRPr="00037DDA">
        <w:rPr>
          <w:rFonts w:eastAsia="????"/>
        </w:rPr>
        <w:t xml:space="preserve"> December 31, 2019.  Each series of our outstanding preferred stock has a stated value of $1,000 per share. Further details concerning each series of preferred stock, and the changes in each series during the </w:t>
      </w:r>
      <w:r w:rsidR="003E6788">
        <w:rPr>
          <w:rFonts w:eastAsia="????"/>
        </w:rPr>
        <w:t>three months</w:t>
      </w:r>
      <w:r w:rsidRPr="00037DDA">
        <w:rPr>
          <w:rFonts w:eastAsia="????"/>
        </w:rPr>
        <w:t xml:space="preserve"> ended </w:t>
      </w:r>
      <w:r w:rsidR="003E6788">
        <w:rPr>
          <w:rFonts w:eastAsia="????"/>
        </w:rPr>
        <w:t>March</w:t>
      </w:r>
      <w:r w:rsidRPr="00037DDA">
        <w:rPr>
          <w:rFonts w:eastAsia="????"/>
        </w:rPr>
        <w:t xml:space="preserve"> 31, 20</w:t>
      </w:r>
      <w:r w:rsidR="003E6788">
        <w:rPr>
          <w:rFonts w:eastAsia="????"/>
        </w:rPr>
        <w:t>20</w:t>
      </w:r>
      <w:r w:rsidRPr="00037DDA">
        <w:rPr>
          <w:rFonts w:eastAsia="????"/>
        </w:rPr>
        <w:t xml:space="preserve"> are discussed in the sections that follow the table.</w:t>
      </w:r>
    </w:p>
    <w:tbl>
      <w:tblPr>
        <w:tblW w:w="9838" w:type="dxa"/>
        <w:tblInd w:w="-240" w:type="dxa"/>
        <w:tblLayout w:type="fixed"/>
        <w:tblCellMar>
          <w:left w:w="30" w:type="dxa"/>
          <w:right w:w="30" w:type="dxa"/>
        </w:tblCellMar>
        <w:tblLook w:val="0000" w:firstRow="0" w:lastRow="0" w:firstColumn="0" w:lastColumn="0" w:noHBand="0" w:noVBand="0"/>
      </w:tblPr>
      <w:tblGrid>
        <w:gridCol w:w="305"/>
        <w:gridCol w:w="4795"/>
        <w:gridCol w:w="1125"/>
        <w:gridCol w:w="1125"/>
        <w:gridCol w:w="376"/>
        <w:gridCol w:w="1056"/>
        <w:gridCol w:w="1056"/>
      </w:tblGrid>
      <w:tr w:rsidR="00037DDA" w:rsidRPr="00037DDA" w14:paraId="1FE11FEC" w14:textId="77777777" w:rsidTr="0043475C">
        <w:trPr>
          <w:trHeight w:hRule="exact" w:val="230"/>
        </w:trPr>
        <w:tc>
          <w:tcPr>
            <w:tcW w:w="305" w:type="dxa"/>
          </w:tcPr>
          <w:p w14:paraId="40012582" w14:textId="77777777" w:rsidR="00037DDA" w:rsidRPr="00037DDA" w:rsidRDefault="00037DDA" w:rsidP="00037DDA">
            <w:pPr>
              <w:jc w:val="right"/>
              <w:rPr>
                <w:snapToGrid w:val="0"/>
                <w:color w:val="000000"/>
              </w:rPr>
            </w:pPr>
          </w:p>
        </w:tc>
        <w:tc>
          <w:tcPr>
            <w:tcW w:w="4795" w:type="dxa"/>
          </w:tcPr>
          <w:p w14:paraId="0708CFBC" w14:textId="77777777" w:rsidR="00037DDA" w:rsidRPr="00037DDA" w:rsidRDefault="00037DDA" w:rsidP="00037DDA">
            <w:pPr>
              <w:jc w:val="right"/>
              <w:rPr>
                <w:snapToGrid w:val="0"/>
                <w:color w:val="000000"/>
              </w:rPr>
            </w:pPr>
          </w:p>
        </w:tc>
        <w:tc>
          <w:tcPr>
            <w:tcW w:w="2250" w:type="dxa"/>
            <w:gridSpan w:val="2"/>
            <w:tcBorders>
              <w:bottom w:val="single" w:sz="4" w:space="0" w:color="auto"/>
            </w:tcBorders>
          </w:tcPr>
          <w:p w14:paraId="78161B29" w14:textId="3F52CFEB" w:rsidR="00037DDA" w:rsidRPr="00037DDA" w:rsidRDefault="00552064" w:rsidP="00037DDA">
            <w:pPr>
              <w:jc w:val="center"/>
              <w:rPr>
                <w:snapToGrid w:val="0"/>
                <w:color w:val="000000"/>
              </w:rPr>
            </w:pPr>
            <w:r>
              <w:rPr>
                <w:snapToGrid w:val="0"/>
                <w:color w:val="000000"/>
              </w:rPr>
              <w:t>March</w:t>
            </w:r>
            <w:r w:rsidR="00037DDA" w:rsidRPr="00037DDA">
              <w:rPr>
                <w:snapToGrid w:val="0"/>
                <w:color w:val="000000"/>
              </w:rPr>
              <w:t xml:space="preserve"> 31, 20</w:t>
            </w:r>
            <w:r>
              <w:rPr>
                <w:snapToGrid w:val="0"/>
                <w:color w:val="000000"/>
              </w:rPr>
              <w:t>20</w:t>
            </w:r>
          </w:p>
        </w:tc>
        <w:tc>
          <w:tcPr>
            <w:tcW w:w="376" w:type="dxa"/>
          </w:tcPr>
          <w:p w14:paraId="031CF91F" w14:textId="77777777" w:rsidR="00037DDA" w:rsidRPr="00037DDA" w:rsidRDefault="00037DDA" w:rsidP="00037DDA">
            <w:pPr>
              <w:jc w:val="right"/>
              <w:rPr>
                <w:snapToGrid w:val="0"/>
                <w:color w:val="000000"/>
              </w:rPr>
            </w:pPr>
          </w:p>
        </w:tc>
        <w:tc>
          <w:tcPr>
            <w:tcW w:w="2112" w:type="dxa"/>
            <w:gridSpan w:val="2"/>
            <w:tcBorders>
              <w:bottom w:val="single" w:sz="4" w:space="0" w:color="auto"/>
            </w:tcBorders>
          </w:tcPr>
          <w:p w14:paraId="098DCC3E" w14:textId="7D19AD6B" w:rsidR="00037DDA" w:rsidRPr="00037DDA" w:rsidRDefault="00037DDA" w:rsidP="00037DDA">
            <w:pPr>
              <w:jc w:val="center"/>
              <w:rPr>
                <w:snapToGrid w:val="0"/>
                <w:color w:val="000000"/>
              </w:rPr>
            </w:pPr>
            <w:r w:rsidRPr="00037DDA">
              <w:rPr>
                <w:snapToGrid w:val="0"/>
                <w:color w:val="000000"/>
              </w:rPr>
              <w:t>December 31, 201</w:t>
            </w:r>
            <w:r w:rsidR="003E6788">
              <w:rPr>
                <w:snapToGrid w:val="0"/>
                <w:color w:val="000000"/>
              </w:rPr>
              <w:t>9</w:t>
            </w:r>
          </w:p>
        </w:tc>
      </w:tr>
      <w:tr w:rsidR="00037DDA" w:rsidRPr="00037DDA" w14:paraId="5E419D81" w14:textId="77777777" w:rsidTr="0043475C">
        <w:trPr>
          <w:trHeight w:hRule="exact" w:val="230"/>
        </w:trPr>
        <w:tc>
          <w:tcPr>
            <w:tcW w:w="305" w:type="dxa"/>
          </w:tcPr>
          <w:p w14:paraId="1A927074" w14:textId="77777777" w:rsidR="00037DDA" w:rsidRPr="00037DDA" w:rsidRDefault="00037DDA" w:rsidP="00037DDA">
            <w:pPr>
              <w:jc w:val="right"/>
              <w:rPr>
                <w:snapToGrid w:val="0"/>
                <w:color w:val="000000"/>
              </w:rPr>
            </w:pPr>
          </w:p>
        </w:tc>
        <w:tc>
          <w:tcPr>
            <w:tcW w:w="4795" w:type="dxa"/>
          </w:tcPr>
          <w:p w14:paraId="7EF0C08E" w14:textId="77777777" w:rsidR="00037DDA" w:rsidRPr="00037DDA" w:rsidRDefault="00037DDA" w:rsidP="00037DDA">
            <w:pPr>
              <w:jc w:val="right"/>
              <w:rPr>
                <w:snapToGrid w:val="0"/>
                <w:color w:val="000000"/>
              </w:rPr>
            </w:pPr>
          </w:p>
        </w:tc>
        <w:tc>
          <w:tcPr>
            <w:tcW w:w="1125" w:type="dxa"/>
            <w:tcBorders>
              <w:top w:val="single" w:sz="4" w:space="0" w:color="auto"/>
            </w:tcBorders>
          </w:tcPr>
          <w:p w14:paraId="751808CC" w14:textId="77777777" w:rsidR="00037DDA" w:rsidRPr="00037DDA" w:rsidRDefault="00037DDA" w:rsidP="00037DDA">
            <w:pPr>
              <w:jc w:val="center"/>
              <w:rPr>
                <w:snapToGrid w:val="0"/>
                <w:color w:val="000000"/>
              </w:rPr>
            </w:pPr>
          </w:p>
        </w:tc>
        <w:tc>
          <w:tcPr>
            <w:tcW w:w="1125" w:type="dxa"/>
            <w:tcBorders>
              <w:top w:val="single" w:sz="4" w:space="0" w:color="auto"/>
            </w:tcBorders>
          </w:tcPr>
          <w:p w14:paraId="3616706C" w14:textId="77777777" w:rsidR="00037DDA" w:rsidRPr="00037DDA" w:rsidRDefault="00037DDA" w:rsidP="00037DDA">
            <w:pPr>
              <w:jc w:val="center"/>
              <w:rPr>
                <w:snapToGrid w:val="0"/>
                <w:color w:val="000000"/>
              </w:rPr>
            </w:pPr>
            <w:r w:rsidRPr="00037DDA">
              <w:rPr>
                <w:snapToGrid w:val="0"/>
                <w:color w:val="000000"/>
              </w:rPr>
              <w:t>Carrying</w:t>
            </w:r>
          </w:p>
        </w:tc>
        <w:tc>
          <w:tcPr>
            <w:tcW w:w="376" w:type="dxa"/>
          </w:tcPr>
          <w:p w14:paraId="15E3B1E2" w14:textId="77777777" w:rsidR="00037DDA" w:rsidRPr="00037DDA" w:rsidRDefault="00037DDA" w:rsidP="00037DDA">
            <w:pPr>
              <w:jc w:val="right"/>
              <w:rPr>
                <w:snapToGrid w:val="0"/>
                <w:color w:val="000000"/>
              </w:rPr>
            </w:pPr>
          </w:p>
        </w:tc>
        <w:tc>
          <w:tcPr>
            <w:tcW w:w="1056" w:type="dxa"/>
            <w:tcBorders>
              <w:top w:val="single" w:sz="4" w:space="0" w:color="auto"/>
            </w:tcBorders>
          </w:tcPr>
          <w:p w14:paraId="5B2BEBFD" w14:textId="77777777" w:rsidR="00037DDA" w:rsidRPr="00037DDA" w:rsidRDefault="00037DDA" w:rsidP="00037DDA">
            <w:pPr>
              <w:jc w:val="center"/>
              <w:rPr>
                <w:snapToGrid w:val="0"/>
                <w:color w:val="000000"/>
              </w:rPr>
            </w:pPr>
          </w:p>
        </w:tc>
        <w:tc>
          <w:tcPr>
            <w:tcW w:w="1056" w:type="dxa"/>
            <w:tcBorders>
              <w:top w:val="single" w:sz="4" w:space="0" w:color="auto"/>
            </w:tcBorders>
          </w:tcPr>
          <w:p w14:paraId="3F092E4A" w14:textId="77777777" w:rsidR="00037DDA" w:rsidRPr="00037DDA" w:rsidRDefault="00037DDA" w:rsidP="00037DDA">
            <w:pPr>
              <w:jc w:val="center"/>
              <w:rPr>
                <w:snapToGrid w:val="0"/>
                <w:color w:val="000000"/>
              </w:rPr>
            </w:pPr>
            <w:r w:rsidRPr="00037DDA">
              <w:rPr>
                <w:snapToGrid w:val="0"/>
                <w:color w:val="000000"/>
              </w:rPr>
              <w:t>Carrying</w:t>
            </w:r>
          </w:p>
        </w:tc>
      </w:tr>
      <w:tr w:rsidR="00037DDA" w:rsidRPr="00037DDA" w14:paraId="42AF4DA4" w14:textId="77777777" w:rsidTr="0043475C">
        <w:trPr>
          <w:trHeight w:hRule="exact" w:val="230"/>
        </w:trPr>
        <w:tc>
          <w:tcPr>
            <w:tcW w:w="305" w:type="dxa"/>
          </w:tcPr>
          <w:p w14:paraId="164448CA" w14:textId="77777777" w:rsidR="00037DDA" w:rsidRPr="00037DDA" w:rsidRDefault="00037DDA" w:rsidP="00037DDA">
            <w:pPr>
              <w:jc w:val="right"/>
              <w:rPr>
                <w:snapToGrid w:val="0"/>
                <w:color w:val="000000"/>
              </w:rPr>
            </w:pPr>
          </w:p>
        </w:tc>
        <w:tc>
          <w:tcPr>
            <w:tcW w:w="4795" w:type="dxa"/>
          </w:tcPr>
          <w:p w14:paraId="54A92893" w14:textId="77777777" w:rsidR="00037DDA" w:rsidRPr="00037DDA" w:rsidRDefault="00037DDA" w:rsidP="00037DDA">
            <w:pPr>
              <w:jc w:val="right"/>
              <w:rPr>
                <w:snapToGrid w:val="0"/>
                <w:color w:val="000000"/>
              </w:rPr>
            </w:pPr>
          </w:p>
        </w:tc>
        <w:tc>
          <w:tcPr>
            <w:tcW w:w="1125" w:type="dxa"/>
            <w:tcBorders>
              <w:bottom w:val="single" w:sz="6" w:space="0" w:color="auto"/>
            </w:tcBorders>
          </w:tcPr>
          <w:p w14:paraId="78867C45" w14:textId="77777777" w:rsidR="00037DDA" w:rsidRPr="00037DDA" w:rsidRDefault="00037DDA" w:rsidP="00037DDA">
            <w:pPr>
              <w:jc w:val="center"/>
              <w:rPr>
                <w:snapToGrid w:val="0"/>
                <w:color w:val="000000"/>
              </w:rPr>
            </w:pPr>
            <w:r w:rsidRPr="00037DDA">
              <w:rPr>
                <w:snapToGrid w:val="0"/>
                <w:color w:val="000000"/>
              </w:rPr>
              <w:t>Shares</w:t>
            </w:r>
          </w:p>
        </w:tc>
        <w:tc>
          <w:tcPr>
            <w:tcW w:w="1125" w:type="dxa"/>
            <w:tcBorders>
              <w:bottom w:val="single" w:sz="4" w:space="0" w:color="auto"/>
            </w:tcBorders>
          </w:tcPr>
          <w:p w14:paraId="5A5A6058" w14:textId="77777777" w:rsidR="00037DDA" w:rsidRPr="00037DDA" w:rsidRDefault="00037DDA" w:rsidP="00037DDA">
            <w:pPr>
              <w:jc w:val="center"/>
              <w:rPr>
                <w:snapToGrid w:val="0"/>
                <w:color w:val="000000"/>
              </w:rPr>
            </w:pPr>
            <w:r w:rsidRPr="00037DDA">
              <w:rPr>
                <w:snapToGrid w:val="0"/>
                <w:color w:val="000000"/>
              </w:rPr>
              <w:t>Value</w:t>
            </w:r>
          </w:p>
        </w:tc>
        <w:tc>
          <w:tcPr>
            <w:tcW w:w="376" w:type="dxa"/>
          </w:tcPr>
          <w:p w14:paraId="582F04C8" w14:textId="77777777" w:rsidR="00037DDA" w:rsidRPr="00037DDA" w:rsidRDefault="00037DDA" w:rsidP="00037DDA">
            <w:pPr>
              <w:jc w:val="right"/>
              <w:rPr>
                <w:snapToGrid w:val="0"/>
                <w:color w:val="000000"/>
              </w:rPr>
            </w:pPr>
          </w:p>
        </w:tc>
        <w:tc>
          <w:tcPr>
            <w:tcW w:w="1056" w:type="dxa"/>
            <w:tcBorders>
              <w:bottom w:val="single" w:sz="4" w:space="0" w:color="auto"/>
            </w:tcBorders>
          </w:tcPr>
          <w:p w14:paraId="1ED74D51" w14:textId="77777777" w:rsidR="00037DDA" w:rsidRPr="00037DDA" w:rsidRDefault="00037DDA" w:rsidP="00037DDA">
            <w:pPr>
              <w:jc w:val="center"/>
              <w:rPr>
                <w:snapToGrid w:val="0"/>
                <w:color w:val="000000"/>
              </w:rPr>
            </w:pPr>
            <w:r w:rsidRPr="00037DDA">
              <w:rPr>
                <w:snapToGrid w:val="0"/>
                <w:color w:val="000000"/>
              </w:rPr>
              <w:t>Shares</w:t>
            </w:r>
          </w:p>
        </w:tc>
        <w:tc>
          <w:tcPr>
            <w:tcW w:w="1056" w:type="dxa"/>
            <w:tcBorders>
              <w:bottom w:val="single" w:sz="6" w:space="0" w:color="auto"/>
            </w:tcBorders>
          </w:tcPr>
          <w:p w14:paraId="44BDDC0A" w14:textId="77777777" w:rsidR="00037DDA" w:rsidRPr="00037DDA" w:rsidRDefault="00037DDA" w:rsidP="00037DDA">
            <w:pPr>
              <w:jc w:val="center"/>
              <w:rPr>
                <w:snapToGrid w:val="0"/>
                <w:color w:val="000000"/>
              </w:rPr>
            </w:pPr>
            <w:r w:rsidRPr="00037DDA">
              <w:rPr>
                <w:snapToGrid w:val="0"/>
                <w:color w:val="000000"/>
              </w:rPr>
              <w:t>Value</w:t>
            </w:r>
          </w:p>
        </w:tc>
      </w:tr>
      <w:tr w:rsidR="00037DDA" w:rsidRPr="00037DDA" w14:paraId="6E82657C" w14:textId="77777777" w:rsidTr="0043475C">
        <w:trPr>
          <w:trHeight w:hRule="exact" w:val="230"/>
        </w:trPr>
        <w:tc>
          <w:tcPr>
            <w:tcW w:w="305" w:type="dxa"/>
          </w:tcPr>
          <w:p w14:paraId="5A425688" w14:textId="77777777" w:rsidR="00037DDA" w:rsidRPr="00037DDA" w:rsidRDefault="00037DDA" w:rsidP="00037DDA">
            <w:pPr>
              <w:jc w:val="right"/>
              <w:rPr>
                <w:snapToGrid w:val="0"/>
                <w:color w:val="000000"/>
              </w:rPr>
            </w:pPr>
          </w:p>
        </w:tc>
        <w:tc>
          <w:tcPr>
            <w:tcW w:w="4795" w:type="dxa"/>
          </w:tcPr>
          <w:p w14:paraId="3DFE83F6" w14:textId="77777777" w:rsidR="00037DDA" w:rsidRPr="00037DDA" w:rsidRDefault="00037DDA" w:rsidP="00037DDA">
            <w:pPr>
              <w:tabs>
                <w:tab w:val="left" w:pos="203"/>
              </w:tabs>
              <w:rPr>
                <w:snapToGrid w:val="0"/>
                <w:color w:val="000000"/>
              </w:rPr>
            </w:pPr>
            <w:r w:rsidRPr="00037DDA">
              <w:rPr>
                <w:snapToGrid w:val="0"/>
                <w:color w:val="000000"/>
              </w:rPr>
              <w:t>Series B Convertible Preferred Stock</w:t>
            </w:r>
          </w:p>
        </w:tc>
        <w:tc>
          <w:tcPr>
            <w:tcW w:w="1125" w:type="dxa"/>
          </w:tcPr>
          <w:p w14:paraId="68194510" w14:textId="77777777" w:rsidR="00037DDA" w:rsidRPr="00037DDA" w:rsidRDefault="00037DDA" w:rsidP="00037DDA">
            <w:pPr>
              <w:tabs>
                <w:tab w:val="decimal" w:pos="1195"/>
              </w:tabs>
              <w:jc w:val="right"/>
              <w:rPr>
                <w:snapToGrid w:val="0"/>
                <w:color w:val="000000"/>
              </w:rPr>
            </w:pPr>
            <w:r w:rsidRPr="00037DDA">
              <w:rPr>
                <w:snapToGrid w:val="0"/>
                <w:color w:val="000000"/>
              </w:rPr>
              <w:t>100</w:t>
            </w:r>
          </w:p>
        </w:tc>
        <w:tc>
          <w:tcPr>
            <w:tcW w:w="1125" w:type="dxa"/>
            <w:tcBorders>
              <w:top w:val="single" w:sz="4" w:space="0" w:color="auto"/>
            </w:tcBorders>
          </w:tcPr>
          <w:p w14:paraId="2C7B68B4" w14:textId="4F86CBD7" w:rsidR="00037DDA" w:rsidRPr="00037DDA" w:rsidRDefault="00037DDA" w:rsidP="00037DDA">
            <w:pPr>
              <w:tabs>
                <w:tab w:val="left" w:pos="263"/>
              </w:tabs>
              <w:jc w:val="right"/>
              <w:rPr>
                <w:snapToGrid w:val="0"/>
                <w:color w:val="000000"/>
              </w:rPr>
            </w:pPr>
            <w:r w:rsidRPr="00037DDA">
              <w:rPr>
                <w:snapToGrid w:val="0"/>
                <w:color w:val="000000"/>
              </w:rPr>
              <w:t>$</w:t>
            </w:r>
            <w:r w:rsidR="003E6788">
              <w:rPr>
                <w:snapToGrid w:val="0"/>
                <w:color w:val="000000"/>
              </w:rPr>
              <w:t xml:space="preserve"> </w:t>
            </w:r>
            <w:r w:rsidRPr="00037DDA">
              <w:rPr>
                <w:snapToGrid w:val="0"/>
                <w:color w:val="000000"/>
              </w:rPr>
              <w:tab/>
              <w:t>76,095</w:t>
            </w:r>
          </w:p>
        </w:tc>
        <w:tc>
          <w:tcPr>
            <w:tcW w:w="376" w:type="dxa"/>
          </w:tcPr>
          <w:p w14:paraId="156C9ED4" w14:textId="77777777" w:rsidR="00037DDA" w:rsidRPr="00037DDA" w:rsidRDefault="00037DDA" w:rsidP="00037DDA">
            <w:pPr>
              <w:jc w:val="right"/>
              <w:rPr>
                <w:snapToGrid w:val="0"/>
                <w:color w:val="000000"/>
              </w:rPr>
            </w:pPr>
          </w:p>
        </w:tc>
        <w:tc>
          <w:tcPr>
            <w:tcW w:w="1056" w:type="dxa"/>
            <w:tcBorders>
              <w:top w:val="single" w:sz="4" w:space="0" w:color="auto"/>
            </w:tcBorders>
          </w:tcPr>
          <w:p w14:paraId="0315F1E7" w14:textId="77777777" w:rsidR="00037DDA" w:rsidRPr="00037DDA" w:rsidRDefault="00037DDA" w:rsidP="00037DDA">
            <w:pPr>
              <w:tabs>
                <w:tab w:val="decimal" w:pos="1195"/>
              </w:tabs>
              <w:jc w:val="right"/>
              <w:rPr>
                <w:snapToGrid w:val="0"/>
                <w:color w:val="000000"/>
              </w:rPr>
            </w:pPr>
            <w:r w:rsidRPr="00037DDA">
              <w:rPr>
                <w:snapToGrid w:val="0"/>
                <w:color w:val="000000"/>
              </w:rPr>
              <w:t>100</w:t>
            </w:r>
          </w:p>
        </w:tc>
        <w:tc>
          <w:tcPr>
            <w:tcW w:w="1056" w:type="dxa"/>
          </w:tcPr>
          <w:p w14:paraId="7BEDD7F2" w14:textId="77777777" w:rsidR="00037DDA" w:rsidRPr="00037DDA" w:rsidRDefault="00037DDA" w:rsidP="00037DDA">
            <w:pPr>
              <w:tabs>
                <w:tab w:val="left" w:pos="62"/>
                <w:tab w:val="decimal" w:pos="1195"/>
              </w:tabs>
              <w:jc w:val="right"/>
              <w:rPr>
                <w:snapToGrid w:val="0"/>
                <w:color w:val="000000"/>
              </w:rPr>
            </w:pPr>
            <w:r w:rsidRPr="00037DDA">
              <w:rPr>
                <w:snapToGrid w:val="0"/>
                <w:color w:val="000000"/>
              </w:rPr>
              <w:t xml:space="preserve">  $</w:t>
            </w:r>
            <w:r w:rsidRPr="00037DDA">
              <w:rPr>
                <w:snapToGrid w:val="0"/>
                <w:color w:val="000000"/>
              </w:rPr>
              <w:tab/>
              <w:t>76,095</w:t>
            </w:r>
          </w:p>
        </w:tc>
      </w:tr>
      <w:tr w:rsidR="00037DDA" w:rsidRPr="00037DDA" w14:paraId="61467CE5" w14:textId="77777777" w:rsidTr="0043475C">
        <w:trPr>
          <w:trHeight w:hRule="exact" w:val="230"/>
        </w:trPr>
        <w:tc>
          <w:tcPr>
            <w:tcW w:w="305" w:type="dxa"/>
          </w:tcPr>
          <w:p w14:paraId="307A78C2" w14:textId="77777777" w:rsidR="00037DDA" w:rsidRPr="00037DDA" w:rsidRDefault="00037DDA" w:rsidP="00037DDA">
            <w:pPr>
              <w:jc w:val="right"/>
              <w:rPr>
                <w:snapToGrid w:val="0"/>
                <w:color w:val="000000"/>
              </w:rPr>
            </w:pPr>
          </w:p>
        </w:tc>
        <w:tc>
          <w:tcPr>
            <w:tcW w:w="4795" w:type="dxa"/>
          </w:tcPr>
          <w:p w14:paraId="657780CB" w14:textId="04554A58" w:rsidR="00037DDA" w:rsidRPr="00037DDA" w:rsidRDefault="00037DDA" w:rsidP="00037DDA">
            <w:pPr>
              <w:tabs>
                <w:tab w:val="left" w:pos="203"/>
              </w:tabs>
              <w:rPr>
                <w:snapToGrid w:val="0"/>
                <w:color w:val="000000"/>
              </w:rPr>
            </w:pPr>
            <w:r w:rsidRPr="00037DDA">
              <w:rPr>
                <w:snapToGrid w:val="0"/>
                <w:color w:val="000000"/>
              </w:rPr>
              <w:t xml:space="preserve">Series </w:t>
            </w:r>
            <w:r w:rsidR="003E6788">
              <w:rPr>
                <w:snapToGrid w:val="0"/>
                <w:color w:val="000000"/>
              </w:rPr>
              <w:t>H</w:t>
            </w:r>
            <w:r w:rsidRPr="00037DDA">
              <w:rPr>
                <w:snapToGrid w:val="0"/>
                <w:color w:val="000000"/>
              </w:rPr>
              <w:t xml:space="preserve"> Convertible Preferred Stock</w:t>
            </w:r>
          </w:p>
        </w:tc>
        <w:tc>
          <w:tcPr>
            <w:tcW w:w="1125" w:type="dxa"/>
          </w:tcPr>
          <w:p w14:paraId="3494CF2D" w14:textId="77777777" w:rsidR="00037DDA" w:rsidRPr="00037DDA" w:rsidRDefault="00037DDA" w:rsidP="00037DDA">
            <w:pPr>
              <w:tabs>
                <w:tab w:val="decimal" w:pos="1320"/>
              </w:tabs>
              <w:rPr>
                <w:snapToGrid w:val="0"/>
                <w:color w:val="000000"/>
              </w:rPr>
            </w:pPr>
            <w:r w:rsidRPr="00037DDA">
              <w:rPr>
                <w:snapToGrid w:val="0"/>
                <w:color w:val="000000"/>
              </w:rPr>
              <w:t>-</w:t>
            </w:r>
          </w:p>
        </w:tc>
        <w:tc>
          <w:tcPr>
            <w:tcW w:w="1125" w:type="dxa"/>
          </w:tcPr>
          <w:p w14:paraId="4BDCCC9C" w14:textId="77777777" w:rsidR="00037DDA" w:rsidRPr="00037DDA" w:rsidRDefault="00037DDA" w:rsidP="00037DDA">
            <w:pPr>
              <w:jc w:val="right"/>
              <w:rPr>
                <w:snapToGrid w:val="0"/>
                <w:color w:val="000000"/>
              </w:rPr>
            </w:pPr>
            <w:r w:rsidRPr="00037DDA">
              <w:rPr>
                <w:snapToGrid w:val="0"/>
                <w:color w:val="000000"/>
              </w:rPr>
              <w:t>-</w:t>
            </w:r>
          </w:p>
        </w:tc>
        <w:tc>
          <w:tcPr>
            <w:tcW w:w="376" w:type="dxa"/>
          </w:tcPr>
          <w:p w14:paraId="70A25FA6" w14:textId="77777777" w:rsidR="00037DDA" w:rsidRPr="00037DDA" w:rsidRDefault="00037DDA" w:rsidP="00037DDA">
            <w:pPr>
              <w:jc w:val="right"/>
              <w:rPr>
                <w:snapToGrid w:val="0"/>
                <w:color w:val="000000"/>
              </w:rPr>
            </w:pPr>
          </w:p>
        </w:tc>
        <w:tc>
          <w:tcPr>
            <w:tcW w:w="1056" w:type="dxa"/>
          </w:tcPr>
          <w:p w14:paraId="203C617C" w14:textId="6B50FB23" w:rsidR="00037DDA" w:rsidRPr="00037DDA" w:rsidRDefault="003E6788" w:rsidP="00037DDA">
            <w:pPr>
              <w:tabs>
                <w:tab w:val="decimal" w:pos="1500"/>
              </w:tabs>
              <w:rPr>
                <w:snapToGrid w:val="0"/>
                <w:color w:val="000000"/>
              </w:rPr>
            </w:pPr>
            <w:r>
              <w:rPr>
                <w:snapToGrid w:val="0"/>
                <w:color w:val="000000"/>
              </w:rPr>
              <w:t>1,686</w:t>
            </w:r>
          </w:p>
        </w:tc>
        <w:tc>
          <w:tcPr>
            <w:tcW w:w="1056" w:type="dxa"/>
          </w:tcPr>
          <w:p w14:paraId="4774A764" w14:textId="4DB54749" w:rsidR="00037DDA" w:rsidRPr="00037DDA" w:rsidRDefault="00037DDA" w:rsidP="00037DDA">
            <w:pPr>
              <w:tabs>
                <w:tab w:val="decimal" w:pos="1500"/>
              </w:tabs>
              <w:rPr>
                <w:snapToGrid w:val="0"/>
                <w:color w:val="000000"/>
              </w:rPr>
            </w:pPr>
            <w:r w:rsidRPr="00037DDA">
              <w:rPr>
                <w:snapToGrid w:val="0"/>
                <w:color w:val="000000"/>
              </w:rPr>
              <w:t>1,1</w:t>
            </w:r>
            <w:r w:rsidR="003E6788">
              <w:rPr>
                <w:snapToGrid w:val="0"/>
                <w:color w:val="000000"/>
              </w:rPr>
              <w:t>56,338</w:t>
            </w:r>
          </w:p>
        </w:tc>
      </w:tr>
      <w:tr w:rsidR="00037DDA" w:rsidRPr="00037DDA" w14:paraId="4F42F55C" w14:textId="77777777" w:rsidTr="0043475C">
        <w:trPr>
          <w:trHeight w:hRule="exact" w:val="230"/>
        </w:trPr>
        <w:tc>
          <w:tcPr>
            <w:tcW w:w="305" w:type="dxa"/>
          </w:tcPr>
          <w:p w14:paraId="683247AA" w14:textId="77777777" w:rsidR="00037DDA" w:rsidRPr="00037DDA" w:rsidRDefault="00037DDA" w:rsidP="00037DDA">
            <w:pPr>
              <w:jc w:val="right"/>
              <w:rPr>
                <w:snapToGrid w:val="0"/>
                <w:color w:val="000000"/>
              </w:rPr>
            </w:pPr>
          </w:p>
        </w:tc>
        <w:tc>
          <w:tcPr>
            <w:tcW w:w="4795" w:type="dxa"/>
          </w:tcPr>
          <w:p w14:paraId="6BF422DE" w14:textId="17861276" w:rsidR="00037DDA" w:rsidRPr="00037DDA" w:rsidRDefault="00037DDA" w:rsidP="00037DDA">
            <w:pPr>
              <w:tabs>
                <w:tab w:val="left" w:pos="203"/>
              </w:tabs>
              <w:rPr>
                <w:snapToGrid w:val="0"/>
                <w:color w:val="000000"/>
              </w:rPr>
            </w:pPr>
            <w:r w:rsidRPr="00037DDA">
              <w:rPr>
                <w:snapToGrid w:val="0"/>
                <w:color w:val="000000"/>
              </w:rPr>
              <w:t xml:space="preserve">Series </w:t>
            </w:r>
            <w:r w:rsidR="003E6788">
              <w:rPr>
                <w:snapToGrid w:val="0"/>
                <w:color w:val="000000"/>
              </w:rPr>
              <w:t>I</w:t>
            </w:r>
            <w:r w:rsidRPr="00037DDA">
              <w:rPr>
                <w:snapToGrid w:val="0"/>
                <w:color w:val="000000"/>
              </w:rPr>
              <w:t xml:space="preserve"> Convertible Preferred Stock</w:t>
            </w:r>
          </w:p>
        </w:tc>
        <w:tc>
          <w:tcPr>
            <w:tcW w:w="1125" w:type="dxa"/>
          </w:tcPr>
          <w:p w14:paraId="0FEA7DE3" w14:textId="27177FF4" w:rsidR="00037DDA" w:rsidRPr="00037DDA" w:rsidRDefault="003E6788" w:rsidP="00037DDA">
            <w:pPr>
              <w:tabs>
                <w:tab w:val="decimal" w:pos="1320"/>
              </w:tabs>
              <w:rPr>
                <w:snapToGrid w:val="0"/>
                <w:color w:val="000000"/>
              </w:rPr>
            </w:pPr>
            <w:r>
              <w:rPr>
                <w:snapToGrid w:val="0"/>
                <w:color w:val="000000"/>
              </w:rPr>
              <w:t>-</w:t>
            </w:r>
          </w:p>
        </w:tc>
        <w:tc>
          <w:tcPr>
            <w:tcW w:w="1125" w:type="dxa"/>
          </w:tcPr>
          <w:p w14:paraId="31EC1BD9" w14:textId="2278A0B5" w:rsidR="00037DDA" w:rsidRPr="00037DDA" w:rsidRDefault="003E6788" w:rsidP="00037DDA">
            <w:pPr>
              <w:jc w:val="right"/>
              <w:rPr>
                <w:snapToGrid w:val="0"/>
                <w:color w:val="000000"/>
              </w:rPr>
            </w:pPr>
            <w:r>
              <w:rPr>
                <w:snapToGrid w:val="0"/>
                <w:color w:val="000000"/>
              </w:rPr>
              <w:t>-</w:t>
            </w:r>
          </w:p>
        </w:tc>
        <w:tc>
          <w:tcPr>
            <w:tcW w:w="376" w:type="dxa"/>
          </w:tcPr>
          <w:p w14:paraId="49F51804" w14:textId="77777777" w:rsidR="00037DDA" w:rsidRPr="00037DDA" w:rsidRDefault="00037DDA" w:rsidP="00037DDA">
            <w:pPr>
              <w:jc w:val="right"/>
              <w:rPr>
                <w:snapToGrid w:val="0"/>
                <w:color w:val="000000"/>
              </w:rPr>
            </w:pPr>
          </w:p>
        </w:tc>
        <w:tc>
          <w:tcPr>
            <w:tcW w:w="1056" w:type="dxa"/>
          </w:tcPr>
          <w:p w14:paraId="5AA73688" w14:textId="265525AA" w:rsidR="00037DDA" w:rsidRPr="00037DDA" w:rsidRDefault="003E6788" w:rsidP="00037DDA">
            <w:pPr>
              <w:tabs>
                <w:tab w:val="decimal" w:pos="1500"/>
              </w:tabs>
              <w:rPr>
                <w:snapToGrid w:val="0"/>
                <w:color w:val="000000"/>
              </w:rPr>
            </w:pPr>
            <w:r>
              <w:rPr>
                <w:snapToGrid w:val="0"/>
                <w:color w:val="000000"/>
              </w:rPr>
              <w:t>700</w:t>
            </w:r>
          </w:p>
        </w:tc>
        <w:tc>
          <w:tcPr>
            <w:tcW w:w="1056" w:type="dxa"/>
          </w:tcPr>
          <w:p w14:paraId="5BE3DA85" w14:textId="70CBF77D" w:rsidR="00037DDA" w:rsidRPr="00037DDA" w:rsidRDefault="003E6788" w:rsidP="00037DDA">
            <w:pPr>
              <w:tabs>
                <w:tab w:val="decimal" w:pos="1500"/>
              </w:tabs>
              <w:rPr>
                <w:snapToGrid w:val="0"/>
                <w:color w:val="000000"/>
              </w:rPr>
            </w:pPr>
            <w:r>
              <w:rPr>
                <w:snapToGrid w:val="0"/>
                <w:color w:val="000000"/>
              </w:rPr>
              <w:t>700,000</w:t>
            </w:r>
          </w:p>
        </w:tc>
      </w:tr>
      <w:tr w:rsidR="00037DDA" w:rsidRPr="00037DDA" w14:paraId="0636B4BA" w14:textId="77777777" w:rsidTr="0043475C">
        <w:trPr>
          <w:trHeight w:hRule="exact" w:val="230"/>
        </w:trPr>
        <w:tc>
          <w:tcPr>
            <w:tcW w:w="305" w:type="dxa"/>
          </w:tcPr>
          <w:p w14:paraId="56CBAA7B" w14:textId="77777777" w:rsidR="00037DDA" w:rsidRPr="00037DDA" w:rsidRDefault="00037DDA" w:rsidP="00037DDA">
            <w:pPr>
              <w:jc w:val="right"/>
              <w:rPr>
                <w:snapToGrid w:val="0"/>
                <w:color w:val="000000"/>
              </w:rPr>
            </w:pPr>
          </w:p>
        </w:tc>
        <w:tc>
          <w:tcPr>
            <w:tcW w:w="4795" w:type="dxa"/>
          </w:tcPr>
          <w:p w14:paraId="5E580547" w14:textId="5A26932A" w:rsidR="00037DDA" w:rsidRPr="00037DDA" w:rsidRDefault="00037DDA" w:rsidP="00037DDA">
            <w:pPr>
              <w:tabs>
                <w:tab w:val="left" w:pos="203"/>
              </w:tabs>
              <w:rPr>
                <w:snapToGrid w:val="0"/>
                <w:color w:val="000000"/>
              </w:rPr>
            </w:pPr>
            <w:r w:rsidRPr="00037DDA">
              <w:rPr>
                <w:snapToGrid w:val="0"/>
                <w:color w:val="000000"/>
              </w:rPr>
              <w:t xml:space="preserve">Series </w:t>
            </w:r>
            <w:r w:rsidR="003E6788">
              <w:rPr>
                <w:snapToGrid w:val="0"/>
                <w:color w:val="000000"/>
              </w:rPr>
              <w:t>J</w:t>
            </w:r>
            <w:r w:rsidRPr="00037DDA">
              <w:rPr>
                <w:snapToGrid w:val="0"/>
                <w:color w:val="000000"/>
              </w:rPr>
              <w:t xml:space="preserve"> Convertible Preferred Stock</w:t>
            </w:r>
          </w:p>
        </w:tc>
        <w:tc>
          <w:tcPr>
            <w:tcW w:w="1125" w:type="dxa"/>
            <w:tcBorders>
              <w:bottom w:val="single" w:sz="4" w:space="0" w:color="auto"/>
            </w:tcBorders>
          </w:tcPr>
          <w:p w14:paraId="71CF5167" w14:textId="71C8A7BE" w:rsidR="00037DDA" w:rsidRPr="00037DDA" w:rsidRDefault="003E6788" w:rsidP="00037DDA">
            <w:pPr>
              <w:tabs>
                <w:tab w:val="decimal" w:pos="1320"/>
              </w:tabs>
              <w:rPr>
                <w:snapToGrid w:val="0"/>
                <w:color w:val="000000"/>
              </w:rPr>
            </w:pPr>
            <w:r>
              <w:rPr>
                <w:snapToGrid w:val="0"/>
                <w:color w:val="000000"/>
              </w:rPr>
              <w:t>300</w:t>
            </w:r>
          </w:p>
        </w:tc>
        <w:tc>
          <w:tcPr>
            <w:tcW w:w="1125" w:type="dxa"/>
            <w:tcBorders>
              <w:bottom w:val="single" w:sz="4" w:space="0" w:color="auto"/>
            </w:tcBorders>
          </w:tcPr>
          <w:p w14:paraId="3972C9BD" w14:textId="60A97F02" w:rsidR="00037DDA" w:rsidRPr="00037DDA" w:rsidRDefault="003E6788" w:rsidP="00037DDA">
            <w:pPr>
              <w:jc w:val="right"/>
              <w:rPr>
                <w:snapToGrid w:val="0"/>
                <w:color w:val="000000"/>
              </w:rPr>
            </w:pPr>
            <w:r>
              <w:rPr>
                <w:snapToGrid w:val="0"/>
                <w:color w:val="000000"/>
              </w:rPr>
              <w:t>3</w:t>
            </w:r>
            <w:r w:rsidR="00037DDA" w:rsidRPr="00037DDA">
              <w:rPr>
                <w:snapToGrid w:val="0"/>
                <w:color w:val="000000"/>
              </w:rPr>
              <w:t>00,000</w:t>
            </w:r>
          </w:p>
        </w:tc>
        <w:tc>
          <w:tcPr>
            <w:tcW w:w="376" w:type="dxa"/>
          </w:tcPr>
          <w:p w14:paraId="03B2321A" w14:textId="77777777" w:rsidR="00037DDA" w:rsidRPr="00037DDA" w:rsidRDefault="00037DDA" w:rsidP="00037DDA">
            <w:pPr>
              <w:jc w:val="right"/>
              <w:rPr>
                <w:snapToGrid w:val="0"/>
                <w:color w:val="000000"/>
              </w:rPr>
            </w:pPr>
          </w:p>
        </w:tc>
        <w:tc>
          <w:tcPr>
            <w:tcW w:w="1056" w:type="dxa"/>
            <w:tcBorders>
              <w:bottom w:val="single" w:sz="4" w:space="0" w:color="auto"/>
            </w:tcBorders>
          </w:tcPr>
          <w:p w14:paraId="6638CC23" w14:textId="77777777" w:rsidR="00037DDA" w:rsidRPr="00037DDA" w:rsidRDefault="00037DDA" w:rsidP="00037DDA">
            <w:pPr>
              <w:tabs>
                <w:tab w:val="decimal" w:pos="1500"/>
              </w:tabs>
              <w:rPr>
                <w:snapToGrid w:val="0"/>
                <w:color w:val="000000"/>
              </w:rPr>
            </w:pPr>
            <w:r w:rsidRPr="00037DDA">
              <w:rPr>
                <w:snapToGrid w:val="0"/>
                <w:color w:val="000000"/>
              </w:rPr>
              <w:t>-</w:t>
            </w:r>
          </w:p>
        </w:tc>
        <w:tc>
          <w:tcPr>
            <w:tcW w:w="1056" w:type="dxa"/>
            <w:tcBorders>
              <w:bottom w:val="single" w:sz="4" w:space="0" w:color="auto"/>
            </w:tcBorders>
          </w:tcPr>
          <w:p w14:paraId="2BFC3980" w14:textId="77777777" w:rsidR="00037DDA" w:rsidRPr="00037DDA" w:rsidRDefault="00037DDA" w:rsidP="00037DDA">
            <w:pPr>
              <w:tabs>
                <w:tab w:val="decimal" w:pos="1500"/>
              </w:tabs>
              <w:rPr>
                <w:snapToGrid w:val="0"/>
                <w:color w:val="000000"/>
              </w:rPr>
            </w:pPr>
            <w:r w:rsidRPr="00037DDA">
              <w:rPr>
                <w:snapToGrid w:val="0"/>
                <w:color w:val="000000"/>
              </w:rPr>
              <w:t>-</w:t>
            </w:r>
          </w:p>
        </w:tc>
      </w:tr>
      <w:tr w:rsidR="00037DDA" w:rsidRPr="00037DDA" w14:paraId="01898B35" w14:textId="77777777" w:rsidTr="0043475C">
        <w:trPr>
          <w:trHeight w:hRule="exact" w:val="230"/>
        </w:trPr>
        <w:tc>
          <w:tcPr>
            <w:tcW w:w="305" w:type="dxa"/>
          </w:tcPr>
          <w:p w14:paraId="7BBFF325" w14:textId="77777777" w:rsidR="00037DDA" w:rsidRPr="00037DDA" w:rsidRDefault="00037DDA" w:rsidP="00037DDA">
            <w:pPr>
              <w:jc w:val="right"/>
              <w:rPr>
                <w:snapToGrid w:val="0"/>
                <w:color w:val="000000"/>
              </w:rPr>
            </w:pPr>
          </w:p>
        </w:tc>
        <w:tc>
          <w:tcPr>
            <w:tcW w:w="4795" w:type="dxa"/>
          </w:tcPr>
          <w:p w14:paraId="0DDFDFC2" w14:textId="77777777" w:rsidR="00037DDA" w:rsidRPr="00037DDA" w:rsidRDefault="00037DDA" w:rsidP="00037DDA">
            <w:pPr>
              <w:rPr>
                <w:snapToGrid w:val="0"/>
                <w:color w:val="000000"/>
              </w:rPr>
            </w:pPr>
            <w:r w:rsidRPr="00037DDA">
              <w:rPr>
                <w:snapToGrid w:val="0"/>
                <w:color w:val="000000"/>
              </w:rPr>
              <w:t>Total</w:t>
            </w:r>
          </w:p>
        </w:tc>
        <w:tc>
          <w:tcPr>
            <w:tcW w:w="1125" w:type="dxa"/>
            <w:tcBorders>
              <w:top w:val="single" w:sz="4" w:space="0" w:color="auto"/>
              <w:bottom w:val="double" w:sz="4" w:space="0" w:color="auto"/>
            </w:tcBorders>
          </w:tcPr>
          <w:p w14:paraId="6097DF21" w14:textId="4DCBE3E6" w:rsidR="00037DDA" w:rsidRPr="00037DDA" w:rsidRDefault="003E6788" w:rsidP="00037DDA">
            <w:pPr>
              <w:tabs>
                <w:tab w:val="decimal" w:pos="1320"/>
              </w:tabs>
              <w:rPr>
                <w:snapToGrid w:val="0"/>
                <w:color w:val="000000"/>
              </w:rPr>
            </w:pPr>
            <w:r>
              <w:rPr>
                <w:snapToGrid w:val="0"/>
                <w:color w:val="000000"/>
              </w:rPr>
              <w:t>400</w:t>
            </w:r>
          </w:p>
        </w:tc>
        <w:tc>
          <w:tcPr>
            <w:tcW w:w="1125" w:type="dxa"/>
            <w:tcBorders>
              <w:top w:val="single" w:sz="4" w:space="0" w:color="auto"/>
              <w:bottom w:val="double" w:sz="4" w:space="0" w:color="auto"/>
            </w:tcBorders>
          </w:tcPr>
          <w:p w14:paraId="3D57E408" w14:textId="7A77E860" w:rsidR="00037DDA" w:rsidRPr="00037DDA" w:rsidRDefault="00037DDA" w:rsidP="003E6788">
            <w:pPr>
              <w:tabs>
                <w:tab w:val="left" w:pos="200"/>
              </w:tabs>
              <w:jc w:val="right"/>
              <w:rPr>
                <w:snapToGrid w:val="0"/>
                <w:color w:val="000000"/>
              </w:rPr>
            </w:pPr>
            <w:r w:rsidRPr="00037DDA">
              <w:rPr>
                <w:snapToGrid w:val="0"/>
                <w:color w:val="000000"/>
              </w:rPr>
              <w:t>$</w:t>
            </w:r>
            <w:r w:rsidR="003E6788">
              <w:rPr>
                <w:snapToGrid w:val="0"/>
                <w:color w:val="000000"/>
              </w:rPr>
              <w:tab/>
              <w:t>376,095</w:t>
            </w:r>
          </w:p>
        </w:tc>
        <w:tc>
          <w:tcPr>
            <w:tcW w:w="376" w:type="dxa"/>
          </w:tcPr>
          <w:p w14:paraId="6FD3E816" w14:textId="77777777" w:rsidR="00037DDA" w:rsidRPr="00037DDA" w:rsidRDefault="00037DDA" w:rsidP="00037DDA">
            <w:pPr>
              <w:jc w:val="right"/>
              <w:rPr>
                <w:snapToGrid w:val="0"/>
                <w:color w:val="000000"/>
              </w:rPr>
            </w:pPr>
          </w:p>
        </w:tc>
        <w:tc>
          <w:tcPr>
            <w:tcW w:w="1056" w:type="dxa"/>
            <w:tcBorders>
              <w:top w:val="single" w:sz="4" w:space="0" w:color="auto"/>
              <w:bottom w:val="double" w:sz="4" w:space="0" w:color="auto"/>
            </w:tcBorders>
          </w:tcPr>
          <w:p w14:paraId="2F7B8463" w14:textId="201DF960" w:rsidR="00037DDA" w:rsidRPr="00037DDA" w:rsidRDefault="003E6788" w:rsidP="003E6788">
            <w:pPr>
              <w:tabs>
                <w:tab w:val="decimal" w:pos="1195"/>
              </w:tabs>
              <w:jc w:val="center"/>
              <w:rPr>
                <w:snapToGrid w:val="0"/>
                <w:color w:val="000000"/>
              </w:rPr>
            </w:pPr>
            <w:r>
              <w:rPr>
                <w:snapToGrid w:val="0"/>
                <w:color w:val="000000"/>
              </w:rPr>
              <w:t>2,486</w:t>
            </w:r>
          </w:p>
        </w:tc>
        <w:tc>
          <w:tcPr>
            <w:tcW w:w="1056" w:type="dxa"/>
            <w:tcBorders>
              <w:top w:val="single" w:sz="4" w:space="0" w:color="auto"/>
              <w:bottom w:val="double" w:sz="4" w:space="0" w:color="auto"/>
            </w:tcBorders>
          </w:tcPr>
          <w:p w14:paraId="30928F20" w14:textId="2FE792D2" w:rsidR="00037DDA" w:rsidRPr="00037DDA" w:rsidRDefault="00037DDA" w:rsidP="00037DDA">
            <w:pPr>
              <w:tabs>
                <w:tab w:val="decimal" w:pos="1195"/>
              </w:tabs>
              <w:jc w:val="right"/>
              <w:rPr>
                <w:snapToGrid w:val="0"/>
                <w:color w:val="000000"/>
              </w:rPr>
            </w:pPr>
            <w:r w:rsidRPr="00037DDA">
              <w:rPr>
                <w:snapToGrid w:val="0"/>
                <w:color w:val="000000"/>
              </w:rPr>
              <w:t>$ 1,9</w:t>
            </w:r>
            <w:r w:rsidR="003E6788">
              <w:rPr>
                <w:snapToGrid w:val="0"/>
                <w:color w:val="000000"/>
              </w:rPr>
              <w:t>32,433</w:t>
            </w:r>
          </w:p>
        </w:tc>
      </w:tr>
    </w:tbl>
    <w:p w14:paraId="2918A56A" w14:textId="77777777" w:rsidR="00037DDA" w:rsidRDefault="00037DDA" w:rsidP="000A55AE">
      <w:pPr>
        <w:pStyle w:val="BodyTitle"/>
        <w:spacing w:after="0"/>
      </w:pPr>
    </w:p>
    <w:p w14:paraId="546ED1D1" w14:textId="4153E1AD" w:rsidR="00DD731B" w:rsidRPr="00DD731B" w:rsidRDefault="00775DD0" w:rsidP="00DD731B">
      <w:pPr>
        <w:pStyle w:val="BodyTitle"/>
        <w:spacing w:after="0"/>
        <w:rPr>
          <w:i/>
          <w:u w:val="none"/>
        </w:rPr>
      </w:pPr>
      <w:r w:rsidRPr="00DD731B">
        <w:rPr>
          <w:i/>
          <w:u w:val="none"/>
        </w:rPr>
        <w:t>Series B Preferred Stock</w:t>
      </w:r>
      <w:r w:rsidR="00DD731B" w:rsidRPr="00DD731B">
        <w:rPr>
          <w:i/>
          <w:u w:val="none"/>
        </w:rPr>
        <w:t xml:space="preserve"> -- </w:t>
      </w:r>
      <w:r w:rsidR="00DD731B" w:rsidRPr="00DD731B">
        <w:rPr>
          <w:u w:val="none"/>
        </w:rPr>
        <w:t xml:space="preserve">Our Series B Convertible Preferred Stock (“Series B Preferred Stock”), has rights and privileges as set forth in the pertinent Certificate of Designation of Preferences, Rights and Limitations, including </w:t>
      </w:r>
      <w:r w:rsidR="00DD731B" w:rsidRPr="00DD731B">
        <w:rPr>
          <w:color w:val="000000"/>
          <w:u w:val="none"/>
        </w:rPr>
        <w:t>a liquidation preference equal to the stated value per share. The Series B Preferred Stock has no voting rights and is not entitled to a dividend. As of March 31, 20</w:t>
      </w:r>
      <w:r w:rsidR="00DD731B">
        <w:rPr>
          <w:color w:val="000000"/>
          <w:u w:val="none"/>
        </w:rPr>
        <w:t>20</w:t>
      </w:r>
      <w:r w:rsidR="00DD731B" w:rsidRPr="00DD731B">
        <w:rPr>
          <w:color w:val="000000"/>
          <w:u w:val="none"/>
        </w:rPr>
        <w:t xml:space="preserve">, there were 100 shares of </w:t>
      </w:r>
      <w:r w:rsidR="00DD731B" w:rsidRPr="00DD731B">
        <w:rPr>
          <w:u w:val="none"/>
        </w:rPr>
        <w:t>Series B Preferred Stock outstanding,</w:t>
      </w:r>
      <w:r w:rsidR="00DD731B" w:rsidRPr="00DD731B">
        <w:rPr>
          <w:color w:val="000000"/>
          <w:u w:val="none"/>
        </w:rPr>
        <w:t xml:space="preserve"> convertible at any time at the option of the holder into shares of common stock at a fixed conversion price of $350,000 per common share. There were no transactions involving our Series B Preferred Stock during the three months ended March 31, 2020.</w:t>
      </w:r>
    </w:p>
    <w:p w14:paraId="63B12638" w14:textId="1E142210" w:rsidR="00DD731B" w:rsidRDefault="00DD731B" w:rsidP="000A55AE">
      <w:pPr>
        <w:pStyle w:val="BodyText"/>
        <w:spacing w:after="0"/>
      </w:pPr>
    </w:p>
    <w:p w14:paraId="50358AF8" w14:textId="250F73DF" w:rsidR="003E6788" w:rsidRPr="003E6788" w:rsidRDefault="003E6788" w:rsidP="003E6788">
      <w:pPr>
        <w:suppressAutoHyphens/>
        <w:spacing w:line="240" w:lineRule="exact"/>
        <w:rPr>
          <w:i/>
        </w:rPr>
      </w:pPr>
      <w:r w:rsidRPr="003E6788">
        <w:rPr>
          <w:i/>
        </w:rPr>
        <w:t>Series H Preferred Stock –</w:t>
      </w:r>
      <w:r w:rsidRPr="003E6788">
        <w:t xml:space="preserve">Our Series H </w:t>
      </w:r>
      <w:r w:rsidR="00DD731B">
        <w:t xml:space="preserve">Convertible </w:t>
      </w:r>
      <w:r w:rsidRPr="003E6788">
        <w:t>Preferred Stock</w:t>
      </w:r>
      <w:r w:rsidR="00DD731B">
        <w:t xml:space="preserve"> (“Series H Preferred Stock”)</w:t>
      </w:r>
      <w:r w:rsidRPr="003E6788">
        <w:t xml:space="preserve"> has rights and privileges as set forth in the pertinent Certificate of Designation of Preferences, Rights and Limitations, including </w:t>
      </w:r>
      <w:r w:rsidRPr="003E6788">
        <w:rPr>
          <w:color w:val="000000"/>
        </w:rPr>
        <w:t xml:space="preserve">a liquidation preference equal to the stated value per share. The Series H Preferred Stock has no voting rights and is not entitled to a dividend. </w:t>
      </w:r>
      <w:bookmarkStart w:id="16" w:name="_Hlk37248529"/>
      <w:r w:rsidRPr="003E6788">
        <w:t xml:space="preserve">During </w:t>
      </w:r>
      <w:r w:rsidR="00DD731B">
        <w:t xml:space="preserve">the three months ended March 31, </w:t>
      </w:r>
      <w:r w:rsidRPr="003E6788">
        <w:t>20</w:t>
      </w:r>
      <w:r w:rsidR="00DD731B">
        <w:t>20</w:t>
      </w:r>
      <w:r w:rsidRPr="003E6788">
        <w:t xml:space="preserve">, </w:t>
      </w:r>
      <w:r w:rsidR="00DD731B">
        <w:t>1,686</w:t>
      </w:r>
      <w:r w:rsidRPr="003E6788">
        <w:t xml:space="preserve"> shares of Series H Preferred Stock were converted into </w:t>
      </w:r>
      <w:r w:rsidR="00DD731B">
        <w:t>9,393,937</w:t>
      </w:r>
      <w:r w:rsidRPr="003E6788">
        <w:t xml:space="preserve"> shares of our common stock</w:t>
      </w:r>
      <w:r w:rsidRPr="003E6788">
        <w:rPr>
          <w:color w:val="000000"/>
        </w:rPr>
        <w:t>.</w:t>
      </w:r>
      <w:bookmarkEnd w:id="16"/>
      <w:r w:rsidR="00DD731B" w:rsidRPr="00DD731B">
        <w:rPr>
          <w:color w:val="000000"/>
        </w:rPr>
        <w:t xml:space="preserve"> </w:t>
      </w:r>
      <w:bookmarkStart w:id="17" w:name="_Hlk37248614"/>
      <w:r w:rsidR="00DD731B" w:rsidRPr="00DD731B">
        <w:rPr>
          <w:color w:val="000000"/>
        </w:rPr>
        <w:t>As of March 31, 20</w:t>
      </w:r>
      <w:r w:rsidR="00DD731B">
        <w:rPr>
          <w:color w:val="000000"/>
        </w:rPr>
        <w:t>20</w:t>
      </w:r>
      <w:r w:rsidR="00DD731B" w:rsidRPr="00DD731B">
        <w:rPr>
          <w:color w:val="000000"/>
        </w:rPr>
        <w:t xml:space="preserve">, there </w:t>
      </w:r>
      <w:r w:rsidR="00DD731B">
        <w:rPr>
          <w:color w:val="000000"/>
        </w:rPr>
        <w:t>are no</w:t>
      </w:r>
      <w:r w:rsidR="00DD731B" w:rsidRPr="00DD731B">
        <w:rPr>
          <w:color w:val="000000"/>
        </w:rPr>
        <w:t xml:space="preserve"> shares of </w:t>
      </w:r>
      <w:r w:rsidR="00DD731B" w:rsidRPr="00DD731B">
        <w:t xml:space="preserve">Series </w:t>
      </w:r>
      <w:r w:rsidR="00DD731B">
        <w:t>H</w:t>
      </w:r>
      <w:r w:rsidR="00DD731B" w:rsidRPr="00DD731B">
        <w:t xml:space="preserve"> Preferred Stock outstanding</w:t>
      </w:r>
      <w:bookmarkEnd w:id="17"/>
      <w:r w:rsidR="00DD731B">
        <w:t>.</w:t>
      </w:r>
    </w:p>
    <w:p w14:paraId="312124F6" w14:textId="77777777" w:rsidR="003E6788" w:rsidRPr="003E6788" w:rsidRDefault="003E6788" w:rsidP="003E6788">
      <w:pPr>
        <w:rPr>
          <w:color w:val="000000"/>
        </w:rPr>
      </w:pPr>
    </w:p>
    <w:p w14:paraId="5F93B52D" w14:textId="4DC45097" w:rsidR="003E6788" w:rsidRPr="003E6788" w:rsidRDefault="003E6788" w:rsidP="003E6788">
      <w:pPr>
        <w:suppressAutoHyphens/>
        <w:spacing w:line="240" w:lineRule="exact"/>
        <w:rPr>
          <w:i/>
        </w:rPr>
      </w:pPr>
      <w:r w:rsidRPr="003E6788">
        <w:rPr>
          <w:i/>
        </w:rPr>
        <w:t>Series I Preferred Stock –</w:t>
      </w:r>
      <w:r w:rsidRPr="003E6788">
        <w:t xml:space="preserve">Our </w:t>
      </w:r>
      <w:r w:rsidR="00DD731B" w:rsidRPr="003E6788">
        <w:t xml:space="preserve">Series I Convertible Preferred Stock (“Series I Preferred Stock”) </w:t>
      </w:r>
      <w:r w:rsidRPr="003E6788">
        <w:t xml:space="preserve">has rights and privileges as set forth in the pertinent Certificate of Designation of Preferences, Rights and Limitations, including </w:t>
      </w:r>
      <w:r w:rsidRPr="003E6788">
        <w:rPr>
          <w:color w:val="000000"/>
        </w:rPr>
        <w:t>a liquidation preference equal to the stated value per share. The Series I Preferred Stock has no voting rights and is not entitled to a dividend.</w:t>
      </w:r>
      <w:r w:rsidRPr="003E6788">
        <w:t xml:space="preserve"> </w:t>
      </w:r>
      <w:r w:rsidR="00DD731B" w:rsidRPr="003E6788">
        <w:t xml:space="preserve">During </w:t>
      </w:r>
      <w:r w:rsidR="00DD731B">
        <w:t xml:space="preserve">the three months ended March 31, </w:t>
      </w:r>
      <w:r w:rsidR="00DD731B" w:rsidRPr="003E6788">
        <w:t>20</w:t>
      </w:r>
      <w:r w:rsidR="00DD731B">
        <w:t>20</w:t>
      </w:r>
      <w:r w:rsidR="00DD731B" w:rsidRPr="003E6788">
        <w:t xml:space="preserve">, </w:t>
      </w:r>
      <w:r w:rsidR="00DD731B">
        <w:t>700</w:t>
      </w:r>
      <w:r w:rsidR="00DD731B" w:rsidRPr="003E6788">
        <w:t xml:space="preserve"> shares of Series H Preferred Stock were converted into </w:t>
      </w:r>
      <w:r w:rsidR="00DD731B">
        <w:t>4,087,412</w:t>
      </w:r>
      <w:r w:rsidR="00DD731B" w:rsidRPr="003E6788">
        <w:t xml:space="preserve"> shares of our common stock</w:t>
      </w:r>
      <w:r w:rsidR="00DD731B" w:rsidRPr="003E6788">
        <w:rPr>
          <w:color w:val="000000"/>
        </w:rPr>
        <w:t>.</w:t>
      </w:r>
      <w:r w:rsidR="00DD731B" w:rsidRPr="00DD731B">
        <w:rPr>
          <w:color w:val="000000"/>
        </w:rPr>
        <w:t xml:space="preserve"> As of March 31, 20</w:t>
      </w:r>
      <w:r w:rsidR="00DD731B">
        <w:rPr>
          <w:color w:val="000000"/>
        </w:rPr>
        <w:t>20</w:t>
      </w:r>
      <w:r w:rsidR="00DD731B" w:rsidRPr="00DD731B">
        <w:rPr>
          <w:color w:val="000000"/>
        </w:rPr>
        <w:t xml:space="preserve">, there </w:t>
      </w:r>
      <w:r w:rsidR="00DD731B">
        <w:rPr>
          <w:color w:val="000000"/>
        </w:rPr>
        <w:t>are no</w:t>
      </w:r>
      <w:r w:rsidR="00DD731B" w:rsidRPr="00DD731B">
        <w:rPr>
          <w:color w:val="000000"/>
        </w:rPr>
        <w:t xml:space="preserve"> shares of </w:t>
      </w:r>
      <w:r w:rsidR="00DD731B" w:rsidRPr="00DD731B">
        <w:t xml:space="preserve">Series </w:t>
      </w:r>
      <w:r w:rsidR="00DD731B">
        <w:t>I</w:t>
      </w:r>
      <w:r w:rsidR="00DD731B" w:rsidRPr="00DD731B">
        <w:t xml:space="preserve"> Preferred Stock outstanding</w:t>
      </w:r>
    </w:p>
    <w:p w14:paraId="11175B6A" w14:textId="17CCEEE4" w:rsidR="000A55AE" w:rsidRPr="008C287F" w:rsidRDefault="000A55AE" w:rsidP="000A55AE">
      <w:pPr>
        <w:pStyle w:val="BodyTitle"/>
        <w:spacing w:after="0"/>
      </w:pPr>
    </w:p>
    <w:p w14:paraId="630FE9D0" w14:textId="53B20047" w:rsidR="003E6788" w:rsidRPr="003E6788" w:rsidRDefault="003E6788" w:rsidP="00B53172">
      <w:r w:rsidRPr="003E6788">
        <w:rPr>
          <w:i/>
        </w:rPr>
        <w:t xml:space="preserve">Series </w:t>
      </w:r>
      <w:r>
        <w:rPr>
          <w:i/>
        </w:rPr>
        <w:t>J</w:t>
      </w:r>
      <w:r w:rsidRPr="003E6788">
        <w:rPr>
          <w:i/>
        </w:rPr>
        <w:t xml:space="preserve"> Preferred Stock </w:t>
      </w:r>
      <w:r>
        <w:rPr>
          <w:i/>
        </w:rPr>
        <w:t xml:space="preserve">– </w:t>
      </w:r>
      <w:r w:rsidRPr="003E6788">
        <w:t>On January 24, 2020, we entered into a Securities Purchase Agreement with the purchasers identified therein providing for the issuance and sale to the Purchasers of an aggregate of 300 shares of our Series J Convertible Preferred Stock (“Series G Preferred Stock”) for gross proceeds of $300,000.</w:t>
      </w:r>
      <w:r>
        <w:t xml:space="preserve">  </w:t>
      </w:r>
      <w:r w:rsidRPr="003E6788">
        <w:t xml:space="preserve">Our Series J Preferred Stock has rights and privileges as set forth in the pertinent Certificate of Designation of Preferences, Rights and Limitations, including </w:t>
      </w:r>
      <w:r w:rsidRPr="003E6788">
        <w:rPr>
          <w:color w:val="000000"/>
        </w:rPr>
        <w:t xml:space="preserve">a liquidation preference equal to the stated value per share. The Series J Preferred Stock has no voting rights and is not entitled to a dividend. The Series J Preferred Stock is convertible at any time at the option of the holders into shares of our common stock, at a conversion price </w:t>
      </w:r>
      <w:r w:rsidRPr="003E6788">
        <w:rPr>
          <w:rFonts w:ascii="CG Times (WN)" w:hAnsi="CG Times (WN)"/>
        </w:rPr>
        <w:t>equal to the lesser of (i) $2.00 per share and (ii) 80% of the volume weighted average price of the common stock during the ten trading days immediately preceding the delivery of a notice of conversion</w:t>
      </w:r>
      <w:r w:rsidRPr="003E6788">
        <w:rPr>
          <w:color w:val="000000"/>
        </w:rPr>
        <w:t>. The Series J Preferred Stock contains price adjustment provisions, which may, under certain circumstances reduce the conversion price to match if we sell or grant options to purchase, including rights to reprice, our common stock or common stock equivalents at a price lower than the then conversion price of the Series J Preferred Stock.</w:t>
      </w:r>
      <w:r w:rsidR="00DD731B">
        <w:rPr>
          <w:color w:val="000000"/>
        </w:rPr>
        <w:t xml:space="preserve"> Durin</w:t>
      </w:r>
      <w:r w:rsidR="000E4EF2">
        <w:rPr>
          <w:color w:val="000000"/>
        </w:rPr>
        <w:t xml:space="preserve">g the three months ended March 31, 2020, there were no conversions of Series J Preferred Stock and 300 shares </w:t>
      </w:r>
      <w:r w:rsidR="00974832">
        <w:rPr>
          <w:color w:val="000000"/>
        </w:rPr>
        <w:t>are</w:t>
      </w:r>
      <w:r w:rsidR="000E4EF2">
        <w:rPr>
          <w:color w:val="000000"/>
        </w:rPr>
        <w:t xml:space="preserve"> outstanding as of March 31, 2020.</w:t>
      </w:r>
    </w:p>
    <w:p w14:paraId="30620AB1" w14:textId="77777777" w:rsidR="000A55AE" w:rsidRPr="008B66A9" w:rsidRDefault="000A55AE" w:rsidP="000A55AE">
      <w:pPr>
        <w:rPr>
          <w:color w:val="000000"/>
        </w:rPr>
      </w:pPr>
    </w:p>
    <w:p w14:paraId="4BF608A6" w14:textId="432D3C5F" w:rsidR="00881E20" w:rsidRPr="001E78A9" w:rsidRDefault="00881E20" w:rsidP="000A55AE">
      <w:pPr>
        <w:pStyle w:val="BodyTitle"/>
        <w:spacing w:after="0"/>
        <w:rPr>
          <w:i/>
          <w:u w:val="none"/>
        </w:rPr>
      </w:pPr>
      <w:r w:rsidRPr="001E78A9">
        <w:rPr>
          <w:i/>
          <w:u w:val="none"/>
        </w:rPr>
        <w:t>Common Stock</w:t>
      </w:r>
    </w:p>
    <w:p w14:paraId="2AEAD8FA" w14:textId="77777777" w:rsidR="003E6788" w:rsidRDefault="003E6788" w:rsidP="003E6788">
      <w:pPr>
        <w:rPr>
          <w:i/>
        </w:rPr>
      </w:pPr>
    </w:p>
    <w:p w14:paraId="7EC8B1E2" w14:textId="3D846332" w:rsidR="003E6788" w:rsidRPr="003E6788" w:rsidRDefault="003E6788" w:rsidP="003E6788">
      <w:pPr>
        <w:rPr>
          <w:i/>
        </w:rPr>
      </w:pPr>
      <w:r w:rsidRPr="003E6788">
        <w:rPr>
          <w:i/>
        </w:rPr>
        <w:t>Reverse Stock Split –</w:t>
      </w:r>
      <w:r w:rsidR="00974832">
        <w:t xml:space="preserve"> </w:t>
      </w:r>
      <w:r w:rsidRPr="003E6788">
        <w:t xml:space="preserve">Following approval by our shareholders at a meeting held on </w:t>
      </w:r>
      <w:r>
        <w:t>January</w:t>
      </w:r>
      <w:r w:rsidRPr="003E6788">
        <w:t xml:space="preserve"> </w:t>
      </w:r>
      <w:r>
        <w:t>3</w:t>
      </w:r>
      <w:r w:rsidRPr="003E6788">
        <w:t>, 20</w:t>
      </w:r>
      <w:r>
        <w:t>20</w:t>
      </w:r>
      <w:r w:rsidRPr="003E6788">
        <w:t xml:space="preserve">, on </w:t>
      </w:r>
      <w:r>
        <w:t>January</w:t>
      </w:r>
      <w:r w:rsidRPr="003E6788">
        <w:t xml:space="preserve"> </w:t>
      </w:r>
      <w:r>
        <w:t>21</w:t>
      </w:r>
      <w:r w:rsidRPr="003E6788">
        <w:t>, 20</w:t>
      </w:r>
      <w:r>
        <w:t>20</w:t>
      </w:r>
      <w:r w:rsidRPr="003E6788">
        <w:t>, we effected a one-for-</w:t>
      </w:r>
      <w:r>
        <w:t>two thousand</w:t>
      </w:r>
      <w:r w:rsidRPr="003E6788">
        <w:t xml:space="preserve"> reverse split of our common stock by the filing of an amendment to our certificate of incorporation with the State of Delaware.</w:t>
      </w:r>
    </w:p>
    <w:p w14:paraId="3AB0D953" w14:textId="77777777" w:rsidR="001E78A9" w:rsidRDefault="001E78A9" w:rsidP="000A55AE">
      <w:pPr>
        <w:pStyle w:val="BodyText"/>
        <w:spacing w:after="0"/>
      </w:pPr>
    </w:p>
    <w:p w14:paraId="3A2AB7F4" w14:textId="321F80C1" w:rsidR="00CE5648" w:rsidRDefault="008B66A9" w:rsidP="006E64F2">
      <w:pPr>
        <w:pStyle w:val="BodyText"/>
        <w:spacing w:after="0"/>
      </w:pPr>
      <w:r>
        <w:t>As discussed</w:t>
      </w:r>
      <w:r w:rsidR="00974832">
        <w:t xml:space="preserve"> under “Preferred Stock”</w:t>
      </w:r>
      <w:r>
        <w:t xml:space="preserve"> above, during the three months ended March 31, 20</w:t>
      </w:r>
      <w:r w:rsidR="003E6788">
        <w:t>20</w:t>
      </w:r>
      <w:r>
        <w:t xml:space="preserve">, we issued </w:t>
      </w:r>
      <w:r w:rsidR="000E4EF2">
        <w:t>13,481,349</w:t>
      </w:r>
      <w:r>
        <w:t xml:space="preserve"> shares of our common stock pursuant to conversion</w:t>
      </w:r>
      <w:r w:rsidR="00C914D8">
        <w:t>s</w:t>
      </w:r>
      <w:r>
        <w:t xml:space="preserve"> our Series </w:t>
      </w:r>
      <w:r w:rsidR="003E6788">
        <w:t>H</w:t>
      </w:r>
      <w:r w:rsidR="00C914D8">
        <w:t xml:space="preserve"> and Series </w:t>
      </w:r>
      <w:r w:rsidR="003E6788">
        <w:t>I</w:t>
      </w:r>
      <w:r>
        <w:t xml:space="preserve"> Preferred Stock. </w:t>
      </w:r>
      <w:r w:rsidR="006E64F2">
        <w:t xml:space="preserve"> </w:t>
      </w:r>
    </w:p>
    <w:p w14:paraId="0C1DB7C5" w14:textId="77777777" w:rsidR="00CE5648" w:rsidRDefault="00CE5648" w:rsidP="006E64F2">
      <w:pPr>
        <w:pStyle w:val="BodyText"/>
        <w:spacing w:after="0"/>
      </w:pPr>
    </w:p>
    <w:p w14:paraId="063EFD61" w14:textId="1F04BBAE" w:rsidR="003E6788" w:rsidRPr="003E6788" w:rsidRDefault="003E6788" w:rsidP="006E64F2">
      <w:pPr>
        <w:pStyle w:val="BodyText"/>
        <w:spacing w:after="0"/>
      </w:pPr>
      <w:r w:rsidRPr="003E6788">
        <w:t>During</w:t>
      </w:r>
      <w:r w:rsidR="0065681E">
        <w:t xml:space="preserve"> the</w:t>
      </w:r>
      <w:r w:rsidRPr="003E6788">
        <w:t xml:space="preserve"> </w:t>
      </w:r>
      <w:r>
        <w:t>three months ended March 31, 2020</w:t>
      </w:r>
      <w:r w:rsidRPr="003E6788">
        <w:t xml:space="preserve">, we issued an aggregate of </w:t>
      </w:r>
      <w:r w:rsidR="000E4EF2">
        <w:t>10,417</w:t>
      </w:r>
      <w:r w:rsidRPr="003E6788">
        <w:t xml:space="preserve"> shares of our common stock pursuant to a consulting agreement for which we recognized $</w:t>
      </w:r>
      <w:r w:rsidR="000E4EF2">
        <w:t>6,000</w:t>
      </w:r>
      <w:r w:rsidRPr="003E6788">
        <w:t xml:space="preserve"> of</w:t>
      </w:r>
      <w:r w:rsidR="005B58B3">
        <w:t xml:space="preserve"> stock-based compensation</w:t>
      </w:r>
      <w:r w:rsidRPr="003E6788">
        <w:t xml:space="preserve"> expense.  </w:t>
      </w:r>
    </w:p>
    <w:p w14:paraId="39F73B6F" w14:textId="77777777" w:rsidR="003E6788" w:rsidRDefault="003E6788" w:rsidP="000A55AE">
      <w:pPr>
        <w:pStyle w:val="BodyTitle"/>
        <w:spacing w:after="0"/>
      </w:pPr>
    </w:p>
    <w:p w14:paraId="5151D8CB" w14:textId="3C40F22E" w:rsidR="00881E20" w:rsidRPr="001E78A9" w:rsidRDefault="00881E20" w:rsidP="000A55AE">
      <w:pPr>
        <w:pStyle w:val="BodyTitle"/>
        <w:spacing w:after="0"/>
        <w:rPr>
          <w:i/>
          <w:u w:val="none"/>
        </w:rPr>
      </w:pPr>
      <w:r w:rsidRPr="001E78A9">
        <w:rPr>
          <w:i/>
          <w:u w:val="none"/>
        </w:rPr>
        <w:t>Stock Options</w:t>
      </w:r>
    </w:p>
    <w:p w14:paraId="47DD24C7" w14:textId="77777777" w:rsidR="001E78A9" w:rsidRDefault="001E78A9" w:rsidP="000A55AE"/>
    <w:p w14:paraId="30A5083B" w14:textId="7DBA982B" w:rsidR="00125121" w:rsidRDefault="001E78A9" w:rsidP="005B58B3">
      <w:r>
        <w:t xml:space="preserve">During the three months ended March </w:t>
      </w:r>
      <w:r w:rsidRPr="008C287F">
        <w:t>31, 20</w:t>
      </w:r>
      <w:r w:rsidR="007748E2">
        <w:t>20</w:t>
      </w:r>
      <w:r w:rsidRPr="008C287F">
        <w:t xml:space="preserve">, there were no transactions involving our stock option plan.  </w:t>
      </w:r>
      <w:r w:rsidR="00125121">
        <w:t>As a result of the reverse stock splits enacted in April 2019 and in January 2020, we have made adjustments and retroactive restatements to all of our outstanding stock options such that the balances as of March 31, 2020 are negligible.</w:t>
      </w:r>
      <w:r w:rsidR="006E64F2">
        <w:rPr>
          <w:color w:val="000000"/>
        </w:rPr>
        <w:t xml:space="preserve"> </w:t>
      </w:r>
      <w:r w:rsidR="005B58B3">
        <w:t>Therefore, t</w:t>
      </w:r>
      <w:r w:rsidR="006E64F2">
        <w:t>here was no</w:t>
      </w:r>
      <w:r w:rsidR="00125121" w:rsidRPr="00125121">
        <w:t xml:space="preserve"> stock-based compensation expense </w:t>
      </w:r>
      <w:r w:rsidR="006E64F2">
        <w:t xml:space="preserve">related to our stock option plan </w:t>
      </w:r>
      <w:r w:rsidR="00125121" w:rsidRPr="00125121">
        <w:t xml:space="preserve">recognized in the consolidated statement of operations for the </w:t>
      </w:r>
      <w:r w:rsidR="00125121">
        <w:t>three months</w:t>
      </w:r>
      <w:r w:rsidR="00125121" w:rsidRPr="00125121">
        <w:t xml:space="preserve"> ended </w:t>
      </w:r>
      <w:r w:rsidR="00125121">
        <w:t>March</w:t>
      </w:r>
      <w:r w:rsidR="00125121" w:rsidRPr="00125121">
        <w:t xml:space="preserve"> 31, 20</w:t>
      </w:r>
      <w:r w:rsidR="00125121">
        <w:t>20</w:t>
      </w:r>
      <w:r w:rsidR="005B58B3">
        <w:t>.</w:t>
      </w:r>
    </w:p>
    <w:p w14:paraId="24BB5F7F" w14:textId="77777777" w:rsidR="005B58B3" w:rsidRPr="008C287F" w:rsidRDefault="005B58B3" w:rsidP="005B58B3">
      <w:pPr>
        <w:rPr>
          <w:color w:val="000000"/>
        </w:rPr>
      </w:pPr>
    </w:p>
    <w:p w14:paraId="7BBD6D74" w14:textId="2189C3AF" w:rsidR="00881E20" w:rsidRPr="008C287F" w:rsidRDefault="00881E20" w:rsidP="000A55AE">
      <w:pPr>
        <w:pStyle w:val="BodyTitle"/>
        <w:spacing w:after="0"/>
        <w:rPr>
          <w:rFonts w:eastAsia="Times New Roman"/>
          <w:i/>
          <w:color w:val="000000"/>
          <w:u w:val="none"/>
        </w:rPr>
      </w:pPr>
      <w:r w:rsidRPr="008C287F">
        <w:rPr>
          <w:rFonts w:eastAsia="Times New Roman"/>
          <w:i/>
          <w:color w:val="000000"/>
          <w:u w:val="none"/>
        </w:rPr>
        <w:t>Stock Purchase Warrants</w:t>
      </w:r>
    </w:p>
    <w:p w14:paraId="066F900D" w14:textId="77777777" w:rsidR="00844352" w:rsidRPr="008C287F" w:rsidRDefault="00844352" w:rsidP="000A55AE">
      <w:pPr>
        <w:suppressAutoHyphens/>
        <w:spacing w:line="240" w:lineRule="exact"/>
      </w:pPr>
    </w:p>
    <w:p w14:paraId="70286034" w14:textId="2B0EDE24" w:rsidR="00125121" w:rsidRPr="00125121" w:rsidRDefault="00125121" w:rsidP="00125121">
      <w:r w:rsidRPr="00125121">
        <w:t xml:space="preserve">The following table summarizes our </w:t>
      </w:r>
      <w:r w:rsidR="00974832">
        <w:t xml:space="preserve">stock purchase </w:t>
      </w:r>
      <w:r w:rsidRPr="00125121">
        <w:t xml:space="preserve">warrants outstanding as of </w:t>
      </w:r>
      <w:r>
        <w:t>March</w:t>
      </w:r>
      <w:r w:rsidRPr="00125121">
        <w:t xml:space="preserve"> 31, 20</w:t>
      </w:r>
      <w:r>
        <w:t>20</w:t>
      </w:r>
      <w:r w:rsidRPr="00125121">
        <w:t>:</w:t>
      </w:r>
    </w:p>
    <w:tbl>
      <w:tblPr>
        <w:tblW w:w="0" w:type="auto"/>
        <w:tblLook w:val="01E0" w:firstRow="1" w:lastRow="1" w:firstColumn="1" w:lastColumn="1" w:noHBand="0" w:noVBand="0"/>
      </w:tblPr>
      <w:tblGrid>
        <w:gridCol w:w="5310"/>
        <w:gridCol w:w="1620"/>
        <w:gridCol w:w="1466"/>
        <w:gridCol w:w="1466"/>
      </w:tblGrid>
      <w:tr w:rsidR="00125121" w:rsidRPr="00125121" w14:paraId="457BB238" w14:textId="77777777" w:rsidTr="0043475C">
        <w:tc>
          <w:tcPr>
            <w:tcW w:w="5310" w:type="dxa"/>
          </w:tcPr>
          <w:p w14:paraId="57FF9FB4" w14:textId="77777777" w:rsidR="00125121" w:rsidRPr="00125121" w:rsidRDefault="00125121" w:rsidP="00125121">
            <w:pPr>
              <w:suppressAutoHyphens/>
              <w:spacing w:line="240" w:lineRule="exact"/>
            </w:pPr>
          </w:p>
        </w:tc>
        <w:tc>
          <w:tcPr>
            <w:tcW w:w="1620" w:type="dxa"/>
            <w:tcBorders>
              <w:bottom w:val="single" w:sz="4" w:space="0" w:color="auto"/>
            </w:tcBorders>
          </w:tcPr>
          <w:p w14:paraId="049E9D21" w14:textId="77777777" w:rsidR="00125121" w:rsidRPr="00125121" w:rsidRDefault="00125121" w:rsidP="00125121">
            <w:pPr>
              <w:suppressAutoHyphens/>
              <w:spacing w:line="240" w:lineRule="exact"/>
              <w:jc w:val="center"/>
            </w:pPr>
            <w:r w:rsidRPr="00125121">
              <w:t>Expiration</w:t>
            </w:r>
          </w:p>
          <w:p w14:paraId="53FE9B35" w14:textId="77777777" w:rsidR="00125121" w:rsidRPr="00125121" w:rsidRDefault="00125121" w:rsidP="00125121">
            <w:pPr>
              <w:suppressAutoHyphens/>
              <w:spacing w:line="240" w:lineRule="exact"/>
              <w:jc w:val="center"/>
            </w:pPr>
            <w:r w:rsidRPr="00125121">
              <w:t>Date</w:t>
            </w:r>
          </w:p>
        </w:tc>
        <w:tc>
          <w:tcPr>
            <w:tcW w:w="1466" w:type="dxa"/>
            <w:tcBorders>
              <w:bottom w:val="single" w:sz="4" w:space="0" w:color="auto"/>
            </w:tcBorders>
          </w:tcPr>
          <w:p w14:paraId="69951E23" w14:textId="77777777" w:rsidR="00125121" w:rsidRPr="00125121" w:rsidRDefault="00125121" w:rsidP="00125121">
            <w:pPr>
              <w:suppressAutoHyphens/>
              <w:spacing w:line="240" w:lineRule="exact"/>
              <w:jc w:val="center"/>
            </w:pPr>
            <w:r w:rsidRPr="00125121">
              <w:t>Exercise</w:t>
            </w:r>
          </w:p>
          <w:p w14:paraId="18B21569" w14:textId="77777777" w:rsidR="00125121" w:rsidRPr="00125121" w:rsidRDefault="00125121" w:rsidP="00125121">
            <w:pPr>
              <w:suppressAutoHyphens/>
              <w:spacing w:line="240" w:lineRule="exact"/>
              <w:jc w:val="center"/>
            </w:pPr>
            <w:r w:rsidRPr="00125121">
              <w:t>Price</w:t>
            </w:r>
          </w:p>
        </w:tc>
        <w:tc>
          <w:tcPr>
            <w:tcW w:w="1466" w:type="dxa"/>
            <w:tcBorders>
              <w:bottom w:val="single" w:sz="4" w:space="0" w:color="auto"/>
            </w:tcBorders>
          </w:tcPr>
          <w:p w14:paraId="02EC17D1" w14:textId="77777777" w:rsidR="00125121" w:rsidRPr="00125121" w:rsidRDefault="00125121" w:rsidP="00125121">
            <w:pPr>
              <w:suppressAutoHyphens/>
              <w:spacing w:line="240" w:lineRule="exact"/>
              <w:jc w:val="center"/>
            </w:pPr>
            <w:r w:rsidRPr="00125121">
              <w:t>Number of</w:t>
            </w:r>
          </w:p>
          <w:p w14:paraId="365A6905" w14:textId="77777777" w:rsidR="00125121" w:rsidRPr="00125121" w:rsidRDefault="00125121" w:rsidP="00125121">
            <w:pPr>
              <w:suppressAutoHyphens/>
              <w:spacing w:line="240" w:lineRule="exact"/>
              <w:jc w:val="center"/>
            </w:pPr>
            <w:r w:rsidRPr="00125121">
              <w:t>Warrants</w:t>
            </w:r>
          </w:p>
        </w:tc>
      </w:tr>
      <w:tr w:rsidR="00125121" w:rsidRPr="00125121" w14:paraId="4FB1BA59" w14:textId="77777777" w:rsidTr="0043475C">
        <w:tc>
          <w:tcPr>
            <w:tcW w:w="5310" w:type="dxa"/>
          </w:tcPr>
          <w:p w14:paraId="3570F12D" w14:textId="77777777" w:rsidR="00125121" w:rsidRPr="00125121" w:rsidRDefault="00125121" w:rsidP="00125121">
            <w:pPr>
              <w:suppressAutoHyphens/>
              <w:spacing w:line="240" w:lineRule="exact"/>
            </w:pPr>
            <w:r w:rsidRPr="00125121">
              <w:t>Series G</w:t>
            </w:r>
          </w:p>
        </w:tc>
        <w:tc>
          <w:tcPr>
            <w:tcW w:w="1620" w:type="dxa"/>
            <w:tcBorders>
              <w:top w:val="single" w:sz="4" w:space="0" w:color="auto"/>
            </w:tcBorders>
          </w:tcPr>
          <w:p w14:paraId="48E1153A" w14:textId="77777777" w:rsidR="00125121" w:rsidRPr="00125121" w:rsidRDefault="00125121" w:rsidP="00125121">
            <w:pPr>
              <w:tabs>
                <w:tab w:val="center" w:pos="698"/>
              </w:tabs>
              <w:suppressAutoHyphens/>
              <w:spacing w:line="240" w:lineRule="exact"/>
            </w:pPr>
            <w:r w:rsidRPr="00125121">
              <w:tab/>
              <w:t>September 2021</w:t>
            </w:r>
          </w:p>
        </w:tc>
        <w:tc>
          <w:tcPr>
            <w:tcW w:w="1466" w:type="dxa"/>
            <w:tcBorders>
              <w:top w:val="single" w:sz="4" w:space="0" w:color="auto"/>
            </w:tcBorders>
          </w:tcPr>
          <w:p w14:paraId="7DF82FA7" w14:textId="77777777" w:rsidR="00125121" w:rsidRPr="00125121" w:rsidRDefault="00125121" w:rsidP="00125121">
            <w:pPr>
              <w:tabs>
                <w:tab w:val="right" w:pos="942"/>
              </w:tabs>
              <w:suppressAutoHyphens/>
              <w:spacing w:line="240" w:lineRule="exact"/>
            </w:pPr>
            <w:r w:rsidRPr="00125121">
              <w:tab/>
              <w:t>$ 25,440</w:t>
            </w:r>
          </w:p>
        </w:tc>
        <w:tc>
          <w:tcPr>
            <w:tcW w:w="1466" w:type="dxa"/>
            <w:tcBorders>
              <w:top w:val="single" w:sz="4" w:space="0" w:color="auto"/>
            </w:tcBorders>
          </w:tcPr>
          <w:p w14:paraId="354914DA" w14:textId="77777777" w:rsidR="00125121" w:rsidRPr="00125121" w:rsidRDefault="00125121" w:rsidP="00125121">
            <w:pPr>
              <w:tabs>
                <w:tab w:val="right" w:pos="912"/>
              </w:tabs>
              <w:suppressAutoHyphens/>
              <w:spacing w:line="240" w:lineRule="exact"/>
            </w:pPr>
            <w:r w:rsidRPr="00125121">
              <w:tab/>
              <w:t>48</w:t>
            </w:r>
          </w:p>
        </w:tc>
      </w:tr>
      <w:tr w:rsidR="00125121" w:rsidRPr="00125121" w14:paraId="21AEDE91" w14:textId="77777777" w:rsidTr="0043475C">
        <w:tc>
          <w:tcPr>
            <w:tcW w:w="5310" w:type="dxa"/>
          </w:tcPr>
          <w:p w14:paraId="7046C949" w14:textId="77777777" w:rsidR="00125121" w:rsidRPr="00125121" w:rsidRDefault="00125121" w:rsidP="00125121">
            <w:pPr>
              <w:suppressAutoHyphens/>
              <w:spacing w:line="240" w:lineRule="exact"/>
            </w:pPr>
            <w:r w:rsidRPr="00125121">
              <w:t>Series H</w:t>
            </w:r>
          </w:p>
        </w:tc>
        <w:tc>
          <w:tcPr>
            <w:tcW w:w="1620" w:type="dxa"/>
          </w:tcPr>
          <w:p w14:paraId="66A4F75E" w14:textId="77777777" w:rsidR="00125121" w:rsidRPr="00125121" w:rsidRDefault="00125121" w:rsidP="00125121">
            <w:pPr>
              <w:tabs>
                <w:tab w:val="center" w:pos="698"/>
              </w:tabs>
              <w:suppressAutoHyphens/>
              <w:spacing w:line="240" w:lineRule="exact"/>
            </w:pPr>
            <w:r w:rsidRPr="00125121">
              <w:tab/>
              <w:t>December 2021</w:t>
            </w:r>
          </w:p>
        </w:tc>
        <w:tc>
          <w:tcPr>
            <w:tcW w:w="1466" w:type="dxa"/>
          </w:tcPr>
          <w:p w14:paraId="61B2C91B" w14:textId="77777777" w:rsidR="00125121" w:rsidRPr="00125121" w:rsidRDefault="00125121" w:rsidP="00125121">
            <w:pPr>
              <w:tabs>
                <w:tab w:val="right" w:pos="942"/>
              </w:tabs>
              <w:suppressAutoHyphens/>
              <w:spacing w:line="240" w:lineRule="exact"/>
            </w:pPr>
            <w:r w:rsidRPr="00125121">
              <w:tab/>
              <w:t>1.15</w:t>
            </w:r>
          </w:p>
        </w:tc>
        <w:tc>
          <w:tcPr>
            <w:tcW w:w="1466" w:type="dxa"/>
          </w:tcPr>
          <w:p w14:paraId="22DA0998" w14:textId="77777777" w:rsidR="00125121" w:rsidRPr="00125121" w:rsidRDefault="00125121" w:rsidP="00125121">
            <w:pPr>
              <w:tabs>
                <w:tab w:val="right" w:pos="912"/>
              </w:tabs>
              <w:suppressAutoHyphens/>
              <w:spacing w:line="240" w:lineRule="exact"/>
            </w:pPr>
            <w:r w:rsidRPr="00125121">
              <w:tab/>
              <w:t>217,392</w:t>
            </w:r>
          </w:p>
        </w:tc>
      </w:tr>
      <w:tr w:rsidR="00125121" w:rsidRPr="00125121" w14:paraId="6279D23F" w14:textId="77777777" w:rsidTr="0043475C">
        <w:tc>
          <w:tcPr>
            <w:tcW w:w="5310" w:type="dxa"/>
          </w:tcPr>
          <w:p w14:paraId="4C9D2C0E" w14:textId="77777777" w:rsidR="00125121" w:rsidRPr="00125121" w:rsidRDefault="00125121" w:rsidP="00125121">
            <w:pPr>
              <w:suppressAutoHyphens/>
              <w:spacing w:line="240" w:lineRule="exact"/>
            </w:pPr>
            <w:r w:rsidRPr="00125121">
              <w:t>Series I</w:t>
            </w:r>
          </w:p>
        </w:tc>
        <w:tc>
          <w:tcPr>
            <w:tcW w:w="1620" w:type="dxa"/>
          </w:tcPr>
          <w:p w14:paraId="44AFE496" w14:textId="77777777" w:rsidR="00125121" w:rsidRPr="00125121" w:rsidRDefault="00125121" w:rsidP="00125121">
            <w:pPr>
              <w:tabs>
                <w:tab w:val="center" w:pos="698"/>
              </w:tabs>
              <w:suppressAutoHyphens/>
              <w:spacing w:line="240" w:lineRule="exact"/>
            </w:pPr>
            <w:r w:rsidRPr="00125121">
              <w:tab/>
              <w:t>Aug-Dec 2024</w:t>
            </w:r>
          </w:p>
        </w:tc>
        <w:tc>
          <w:tcPr>
            <w:tcW w:w="1466" w:type="dxa"/>
          </w:tcPr>
          <w:p w14:paraId="2AE11D9E" w14:textId="77777777" w:rsidR="00125121" w:rsidRPr="00125121" w:rsidRDefault="00125121" w:rsidP="00125121">
            <w:pPr>
              <w:tabs>
                <w:tab w:val="right" w:pos="942"/>
              </w:tabs>
              <w:suppressAutoHyphens/>
              <w:spacing w:line="240" w:lineRule="exact"/>
            </w:pPr>
            <w:r w:rsidRPr="00125121">
              <w:tab/>
              <w:t>15,000</w:t>
            </w:r>
          </w:p>
        </w:tc>
        <w:tc>
          <w:tcPr>
            <w:tcW w:w="1466" w:type="dxa"/>
          </w:tcPr>
          <w:p w14:paraId="193A090C" w14:textId="77777777" w:rsidR="00125121" w:rsidRPr="00125121" w:rsidRDefault="00125121" w:rsidP="00125121">
            <w:pPr>
              <w:tabs>
                <w:tab w:val="right" w:pos="912"/>
              </w:tabs>
              <w:suppressAutoHyphens/>
              <w:spacing w:line="240" w:lineRule="exact"/>
            </w:pPr>
            <w:r w:rsidRPr="00125121">
              <w:tab/>
              <w:t>48</w:t>
            </w:r>
          </w:p>
        </w:tc>
      </w:tr>
    </w:tbl>
    <w:p w14:paraId="3E7FB543" w14:textId="1AB3DAC9" w:rsidR="000A55AE" w:rsidRDefault="000A55AE" w:rsidP="000A55AE">
      <w:pPr>
        <w:pStyle w:val="BodyTitle"/>
        <w:spacing w:after="0"/>
        <w:rPr>
          <w:rFonts w:eastAsia="Times New Roman"/>
          <w:color w:val="000000"/>
        </w:rPr>
      </w:pPr>
    </w:p>
    <w:p w14:paraId="129211E1" w14:textId="563622B0" w:rsidR="00125121" w:rsidRPr="00125121" w:rsidRDefault="00125121" w:rsidP="00125121">
      <w:r w:rsidRPr="00125121">
        <w:t xml:space="preserve">All of </w:t>
      </w:r>
      <w:r w:rsidRPr="00125121">
        <w:rPr>
          <w:color w:val="000000"/>
        </w:rPr>
        <w:t xml:space="preserve">the outstanding warrants contain anti-dilution and price adjustment provisions, which may, under certain circumstances reduce the exercise price to match if we sell or grant options to purchase, including rights to reprice, our common stock or common stock equivalents at a price lower than the then exercise price of the warrants. Such provisions </w:t>
      </w:r>
      <w:r w:rsidRPr="00125121">
        <w:rPr>
          <w:color w:val="000000"/>
        </w:rPr>
        <w:lastRenderedPageBreak/>
        <w:t>as to the Series G and Series H Warrants apply to the exercise price only, with no effect on the number of shares subject to the warrants.  Such provisions as to the Series I Warrants apply to both the exercise price and the number of shares subject to the warrants, so that the number of warrants will be increased such that the aggregate exercise price, after taking into account the decrease in the exercise price, will be equal to the aggregate exercise price prior to the adjustment.  The Series H Warrants have an additional price adjustment provision requiring a similar adjustment to the exercise price and number of warrants following a reverse stock split of our common stock; such adjustments occurred in connection with our April 30, 2019 reverse stock split and our January 21, 2020 reverse stock split, which is reflected in the table above.</w:t>
      </w:r>
    </w:p>
    <w:p w14:paraId="40560E09" w14:textId="09DA59F9" w:rsidR="000A55AE" w:rsidRDefault="000A55AE" w:rsidP="000A55AE">
      <w:pPr>
        <w:rPr>
          <w:color w:val="000000"/>
        </w:rPr>
      </w:pPr>
    </w:p>
    <w:p w14:paraId="78E20A9F" w14:textId="77777777" w:rsidR="005B58B3" w:rsidRPr="00312A9D" w:rsidRDefault="005B58B3" w:rsidP="005B58B3">
      <w:pPr>
        <w:pStyle w:val="BodyTitle"/>
        <w:spacing w:after="0"/>
        <w:rPr>
          <w:rFonts w:eastAsia="Times New Roman"/>
          <w:i/>
          <w:color w:val="000000"/>
          <w:u w:val="none"/>
        </w:rPr>
      </w:pPr>
      <w:r w:rsidRPr="00312A9D">
        <w:rPr>
          <w:rFonts w:eastAsia="Times New Roman"/>
          <w:i/>
          <w:color w:val="000000"/>
          <w:u w:val="none"/>
        </w:rPr>
        <w:t>Stock-Based Compensation Expense</w:t>
      </w:r>
    </w:p>
    <w:p w14:paraId="12BE80FB" w14:textId="77777777" w:rsidR="005B58B3" w:rsidRDefault="005B58B3" w:rsidP="005B58B3"/>
    <w:p w14:paraId="3166E38B" w14:textId="0668ABE3" w:rsidR="005B58B3" w:rsidRDefault="005B58B3" w:rsidP="005B58B3">
      <w:pPr>
        <w:rPr>
          <w:color w:val="000000"/>
        </w:rPr>
      </w:pPr>
      <w:r w:rsidRPr="00EB7BF0">
        <w:t xml:space="preserve">Stock-based compensation expense related to </w:t>
      </w:r>
      <w:r>
        <w:t>our stock option plans</w:t>
      </w:r>
      <w:r w:rsidRPr="00EB7BF0">
        <w:t xml:space="preserve"> was</w:t>
      </w:r>
      <w:r>
        <w:t xml:space="preserve"> $-0- and $26,652 </w:t>
      </w:r>
      <w:r w:rsidRPr="00EB7BF0">
        <w:t>during t</w:t>
      </w:r>
      <w:r>
        <w:t>he three-month periods ended March 31, 2020 and 2019</w:t>
      </w:r>
      <w:r w:rsidRPr="00EB7BF0">
        <w:t>, respectively</w:t>
      </w:r>
      <w:r>
        <w:t xml:space="preserve">. </w:t>
      </w:r>
      <w:r>
        <w:rPr>
          <w:color w:val="000000"/>
        </w:rPr>
        <w:t>Stock-based compensation expense related to stock options is recognized on a straight-line basis over the requisite service period for the award and is allocated to research and development expense or general and administrative expense based upon the related employee classification. As of March 31, 2020, there was no</w:t>
      </w:r>
      <w:r w:rsidRPr="00214555">
        <w:rPr>
          <w:color w:val="000000"/>
        </w:rPr>
        <w:t xml:space="preserve"> unrecognized compensation expense related to stock options.</w:t>
      </w:r>
    </w:p>
    <w:p w14:paraId="5334147A" w14:textId="77777777" w:rsidR="005B58B3" w:rsidRDefault="005B58B3" w:rsidP="005B58B3">
      <w:pPr>
        <w:rPr>
          <w:color w:val="000000"/>
        </w:rPr>
      </w:pPr>
    </w:p>
    <w:p w14:paraId="10026304" w14:textId="1E12973E" w:rsidR="005B58B3" w:rsidRDefault="005B58B3" w:rsidP="005B58B3">
      <w:pPr>
        <w:rPr>
          <w:color w:val="000000"/>
        </w:rPr>
      </w:pPr>
      <w:r w:rsidRPr="00E0278C">
        <w:t>Additionally, during the three</w:t>
      </w:r>
      <w:r>
        <w:t>-</w:t>
      </w:r>
      <w:r w:rsidRPr="00E0278C">
        <w:t>month</w:t>
      </w:r>
      <w:r>
        <w:t xml:space="preserve"> </w:t>
      </w:r>
      <w:r w:rsidRPr="00E0278C">
        <w:t>period</w:t>
      </w:r>
      <w:r>
        <w:t>s</w:t>
      </w:r>
      <w:r w:rsidRPr="00E0278C">
        <w:t xml:space="preserve"> ended </w:t>
      </w:r>
      <w:r>
        <w:t>March 31</w:t>
      </w:r>
      <w:r w:rsidRPr="00E0278C">
        <w:t>, 20</w:t>
      </w:r>
      <w:r>
        <w:t>20</w:t>
      </w:r>
      <w:r w:rsidRPr="00E0278C">
        <w:t xml:space="preserve"> </w:t>
      </w:r>
      <w:r>
        <w:t xml:space="preserve">and 2019 </w:t>
      </w:r>
      <w:r w:rsidRPr="00E0278C">
        <w:t xml:space="preserve">we recorded stock-based compensation expense of </w:t>
      </w:r>
      <w:r>
        <w:t xml:space="preserve">$6,000 and </w:t>
      </w:r>
      <w:r w:rsidRPr="00E0278C">
        <w:t>$</w:t>
      </w:r>
      <w:r>
        <w:t>126,572, respectively,</w:t>
      </w:r>
      <w:r w:rsidRPr="00E0278C">
        <w:t xml:space="preserve"> associated with common stock issued for </w:t>
      </w:r>
      <w:r>
        <w:t xml:space="preserve">consulting and financial advisory </w:t>
      </w:r>
      <w:r w:rsidRPr="00E0278C">
        <w:t>services.</w:t>
      </w:r>
    </w:p>
    <w:p w14:paraId="0DBF2458" w14:textId="77777777" w:rsidR="005B58B3" w:rsidRDefault="005B58B3" w:rsidP="000A55AE">
      <w:pPr>
        <w:rPr>
          <w:color w:val="000000"/>
        </w:rPr>
      </w:pPr>
    </w:p>
    <w:p w14:paraId="45163D60" w14:textId="70EC3ADF" w:rsidR="00881E20" w:rsidRPr="001C6303" w:rsidRDefault="00346823" w:rsidP="000A55AE">
      <w:pPr>
        <w:pStyle w:val="ListNumbering"/>
        <w:spacing w:after="0"/>
      </w:pPr>
      <w:r>
        <w:t>10</w:t>
      </w:r>
      <w:r w:rsidR="00881E20" w:rsidRPr="001C6303">
        <w:t>.</w:t>
      </w:r>
      <w:r w:rsidR="00881E20" w:rsidRPr="001C6303">
        <w:tab/>
        <w:t>Income Taxes</w:t>
      </w:r>
    </w:p>
    <w:p w14:paraId="0850CD3F" w14:textId="77777777" w:rsidR="000A55AE" w:rsidRDefault="000A55AE" w:rsidP="000A55AE">
      <w:pPr>
        <w:pStyle w:val="BodyText"/>
        <w:spacing w:after="0"/>
      </w:pPr>
    </w:p>
    <w:p w14:paraId="08409E42" w14:textId="6392A802" w:rsidR="005414A9" w:rsidRDefault="00881E20" w:rsidP="000A55AE">
      <w:pPr>
        <w:pStyle w:val="BodyText"/>
        <w:spacing w:after="0"/>
      </w:pPr>
      <w:r w:rsidRPr="001C6303">
        <w:t>Because of our historically significant net operating losses, we have not paid</w:t>
      </w:r>
      <w:r w:rsidR="00954516">
        <w:t xml:space="preserve"> income taxes since inception. </w:t>
      </w:r>
      <w:r w:rsidRPr="001C6303">
        <w:t>We maintain deferred tax assets that reflect the net tax effects of temporary differences between the carrying amounts of assets and liabilities for financial reporting purposes and the amounts used for income tax purposes. These deferred tax assets are comprised primarily of net operating loss carryforwards and also include amounts relating to nonqualified stock options and research and development credits. The net deferred tax asset</w:t>
      </w:r>
      <w:r w:rsidR="004D285A">
        <w:t xml:space="preserve"> </w:t>
      </w:r>
      <w:r w:rsidRPr="001C6303">
        <w:t>has been fully offset by a valuation allowance because of the uncertainty of our future profitability and our ability to ut</w:t>
      </w:r>
      <w:r w:rsidR="00A871D2">
        <w:t xml:space="preserve">ilize the deferred tax assets. </w:t>
      </w:r>
      <w:r w:rsidRPr="001C6303">
        <w:t xml:space="preserve">Utilization of operating losses and credits </w:t>
      </w:r>
      <w:r w:rsidR="003D6A75">
        <w:t>will</w:t>
      </w:r>
      <w:r w:rsidR="003D6A75" w:rsidRPr="001C6303">
        <w:t xml:space="preserve"> </w:t>
      </w:r>
      <w:r w:rsidRPr="001C6303">
        <w:t xml:space="preserve">be subject to substantial annual limitations due to ownership change provisions of Section 382 of the Internal Revenue Code. The annual limitation </w:t>
      </w:r>
      <w:r w:rsidR="003D6A75">
        <w:t>will</w:t>
      </w:r>
      <w:r w:rsidR="003D6A75" w:rsidRPr="001C6303">
        <w:t xml:space="preserve"> </w:t>
      </w:r>
      <w:r w:rsidRPr="001C6303">
        <w:t>result in the expiration of net operating losses and credits before utilization.</w:t>
      </w:r>
    </w:p>
    <w:p w14:paraId="0C44511C" w14:textId="77777777" w:rsidR="000A55AE" w:rsidRPr="005414A9" w:rsidRDefault="000A55AE" w:rsidP="000A55AE">
      <w:pPr>
        <w:pStyle w:val="BodyText"/>
        <w:spacing w:after="0"/>
      </w:pPr>
    </w:p>
    <w:p w14:paraId="34FCCEE9" w14:textId="344222C3" w:rsidR="00653E5F" w:rsidRDefault="000E74A1" w:rsidP="000A55AE">
      <w:pPr>
        <w:pStyle w:val="ListNumbering"/>
        <w:spacing w:after="0"/>
      </w:pPr>
      <w:r>
        <w:t>1</w:t>
      </w:r>
      <w:r w:rsidR="00346823">
        <w:t>1</w:t>
      </w:r>
      <w:r w:rsidR="00881E20" w:rsidRPr="001C6303">
        <w:t>.</w:t>
      </w:r>
      <w:r w:rsidR="00881E20" w:rsidRPr="001C6303">
        <w:tab/>
      </w:r>
      <w:r w:rsidR="00881E20">
        <w:t>Grants</w:t>
      </w:r>
      <w:r w:rsidR="003E2B17">
        <w:t xml:space="preserve"> and </w:t>
      </w:r>
      <w:r w:rsidR="00E37E28">
        <w:t>Collaboration Revenue</w:t>
      </w:r>
    </w:p>
    <w:p w14:paraId="44D85234" w14:textId="69220D38" w:rsidR="000A55AE" w:rsidRDefault="000A55AE" w:rsidP="000A55AE"/>
    <w:p w14:paraId="2E358FE7" w14:textId="21D65039" w:rsidR="008346F5" w:rsidRDefault="008346F5" w:rsidP="00BF75A2">
      <w:r>
        <w:t>We receive payments from</w:t>
      </w:r>
      <w:r w:rsidR="004332CF">
        <w:t xml:space="preserve"> </w:t>
      </w:r>
      <w:r>
        <w:t xml:space="preserve">government entities under grants from the National Institute of Allergy and Infectious Diseases (NIAID) and from the U.S. Department of Defense in support of our vaccine research and development efforts. </w:t>
      </w:r>
      <w:r w:rsidRPr="002C2FFF">
        <w:t xml:space="preserve">We record revenue associated with </w:t>
      </w:r>
      <w:r>
        <w:t>government</w:t>
      </w:r>
      <w:r w:rsidRPr="002C2FFF">
        <w:t xml:space="preserve"> grant</w:t>
      </w:r>
      <w:r>
        <w:t>s</w:t>
      </w:r>
      <w:r w:rsidRPr="002C2FFF">
        <w:t xml:space="preserve"> as the </w:t>
      </w:r>
      <w:r>
        <w:t>reimbursable costs are incurred. During the three-month periods ended March 31, 20</w:t>
      </w:r>
      <w:r w:rsidR="00717940">
        <w:t>20</w:t>
      </w:r>
      <w:r>
        <w:t xml:space="preserve"> and 201</w:t>
      </w:r>
      <w:r w:rsidR="00717940">
        <w:t>9</w:t>
      </w:r>
      <w:r>
        <w:t>, we recorded $</w:t>
      </w:r>
      <w:r w:rsidR="004332CF">
        <w:t>654,021</w:t>
      </w:r>
      <w:r>
        <w:t xml:space="preserve"> and $</w:t>
      </w:r>
      <w:r w:rsidR="00717940">
        <w:t>354,319</w:t>
      </w:r>
      <w:r>
        <w:t>, respectively, of revenues associated with these grants. As of March 31, 20</w:t>
      </w:r>
      <w:r w:rsidR="00717940">
        <w:t>20</w:t>
      </w:r>
      <w:r>
        <w:t>, there is an aggregate of $</w:t>
      </w:r>
      <w:r w:rsidR="00E019E2">
        <w:t>606,944</w:t>
      </w:r>
      <w:r w:rsidRPr="00700CEA">
        <w:t xml:space="preserve"> in</w:t>
      </w:r>
      <w:r w:rsidRPr="00640BA0">
        <w:t xml:space="preserve"> approved grant funds available for use</w:t>
      </w:r>
      <w:r w:rsidR="002615A4">
        <w:t xml:space="preserve"> during 2020.</w:t>
      </w:r>
    </w:p>
    <w:p w14:paraId="12A1B809" w14:textId="77777777" w:rsidR="00BF75A2" w:rsidRDefault="00BF75A2" w:rsidP="00BF75A2"/>
    <w:p w14:paraId="57DE5135" w14:textId="598CEB86" w:rsidR="008346F5" w:rsidRDefault="008346F5" w:rsidP="00BF75A2">
      <w:r>
        <w:t>During the three-month periods ended March 31, 20</w:t>
      </w:r>
      <w:r w:rsidR="00717940">
        <w:t>20</w:t>
      </w:r>
      <w:r>
        <w:t xml:space="preserve"> and 201</w:t>
      </w:r>
      <w:r w:rsidR="00717940">
        <w:t>9</w:t>
      </w:r>
      <w:r>
        <w:t>, we recorded $</w:t>
      </w:r>
      <w:r w:rsidR="00E019E2">
        <w:t>61,956</w:t>
      </w:r>
      <w:r>
        <w:t xml:space="preserve"> and $</w:t>
      </w:r>
      <w:r w:rsidR="00717940">
        <w:t>9,913</w:t>
      </w:r>
      <w:r>
        <w:t>, respectively, of revenues associated with research collaboration agreements with several third parties.</w:t>
      </w:r>
    </w:p>
    <w:p w14:paraId="063F577C" w14:textId="77777777" w:rsidR="008346F5" w:rsidRDefault="008346F5" w:rsidP="000A55AE"/>
    <w:p w14:paraId="62EAA2FD" w14:textId="6EF759D7" w:rsidR="00E74795" w:rsidRDefault="00E74795" w:rsidP="000A55AE">
      <w:pPr>
        <w:pStyle w:val="ListNumbering"/>
        <w:spacing w:after="0"/>
      </w:pPr>
      <w:r>
        <w:t>1</w:t>
      </w:r>
      <w:r w:rsidR="00346823">
        <w:t>2</w:t>
      </w:r>
      <w:r w:rsidRPr="001C6303">
        <w:t>.</w:t>
      </w:r>
      <w:r w:rsidRPr="001C6303">
        <w:tab/>
      </w:r>
      <w:r>
        <w:t>Subsequent Event</w:t>
      </w:r>
      <w:r w:rsidR="009C6192">
        <w:t>s</w:t>
      </w:r>
    </w:p>
    <w:p w14:paraId="6FD36B17" w14:textId="77777777" w:rsidR="000A55AE" w:rsidRDefault="000A55AE" w:rsidP="000A55AE"/>
    <w:p w14:paraId="3A863AD6" w14:textId="4E654507" w:rsidR="00A2060E" w:rsidRDefault="00974832" w:rsidP="000A55AE">
      <w:pPr>
        <w:rPr>
          <w:i/>
        </w:rPr>
      </w:pPr>
      <w:r>
        <w:rPr>
          <w:i/>
        </w:rPr>
        <w:t>CARES Act Paycheck Protection Program Loan</w:t>
      </w:r>
    </w:p>
    <w:p w14:paraId="47C2D7B3" w14:textId="18D9C565" w:rsidR="00717940" w:rsidRDefault="00717940" w:rsidP="000A55AE">
      <w:pPr>
        <w:rPr>
          <w:i/>
        </w:rPr>
      </w:pPr>
    </w:p>
    <w:p w14:paraId="2DB73C3F" w14:textId="01EAC99B" w:rsidR="00717940" w:rsidRDefault="00271E59" w:rsidP="000A55AE">
      <w:bookmarkStart w:id="18" w:name="_Hlk37774481"/>
      <w:bookmarkStart w:id="19" w:name="_Hlk38036354"/>
      <w:r>
        <w:rPr>
          <w:iCs/>
        </w:rPr>
        <w:t>O</w:t>
      </w:r>
      <w:r w:rsidR="00974832">
        <w:rPr>
          <w:iCs/>
        </w:rPr>
        <w:t xml:space="preserve">n April </w:t>
      </w:r>
      <w:r w:rsidR="00074805">
        <w:rPr>
          <w:iCs/>
        </w:rPr>
        <w:t>17</w:t>
      </w:r>
      <w:r w:rsidR="00974832">
        <w:rPr>
          <w:iCs/>
        </w:rPr>
        <w:t xml:space="preserve">, 2020, we </w:t>
      </w:r>
      <w:r>
        <w:rPr>
          <w:iCs/>
        </w:rPr>
        <w:t>received a $</w:t>
      </w:r>
      <w:r w:rsidR="00074805">
        <w:rPr>
          <w:iCs/>
        </w:rPr>
        <w:t xml:space="preserve">170,200 bank </w:t>
      </w:r>
      <w:r>
        <w:rPr>
          <w:iCs/>
        </w:rPr>
        <w:t xml:space="preserve">loan </w:t>
      </w:r>
      <w:r w:rsidR="00074805">
        <w:rPr>
          <w:iCs/>
        </w:rPr>
        <w:t>backed by</w:t>
      </w:r>
      <w:r>
        <w:rPr>
          <w:iCs/>
        </w:rPr>
        <w:t xml:space="preserve"> the United States Small Business Administration pursuant to the Paycheck Protection Program (PPP) provisions of the Coronavirus Aid, Relief, and Economic Security (CARES) Act.</w:t>
      </w:r>
      <w:bookmarkEnd w:id="18"/>
      <w:r w:rsidR="00074805">
        <w:rPr>
          <w:iCs/>
        </w:rPr>
        <w:t xml:space="preserve"> </w:t>
      </w:r>
      <w:r w:rsidR="00074805">
        <w:t>The loan bears an annual interest rate of one percent and is due April 17, 2022. No payments of principal or interest will be due until 180 days after the disbursement date.  Commencing November 17, 2020, monthly payments of $9,578.16 will be due. Amounts due may be prepaid without penalty. We may apply to the lender to have the principal amount reduced upon providing qualifying information regarding eligible expenses to the lender.</w:t>
      </w:r>
    </w:p>
    <w:bookmarkEnd w:id="19"/>
    <w:p w14:paraId="2F76659E" w14:textId="77777777" w:rsidR="00717940" w:rsidRDefault="00717940">
      <w:pPr>
        <w:rPr>
          <w:b/>
        </w:rPr>
      </w:pPr>
      <w:r>
        <w:br w:type="page"/>
      </w:r>
    </w:p>
    <w:p w14:paraId="511152B0" w14:textId="698F09C3" w:rsidR="00BD6BBE" w:rsidRPr="001C6303" w:rsidRDefault="0054260E" w:rsidP="000A55AE">
      <w:pPr>
        <w:pStyle w:val="Heading2"/>
        <w:numPr>
          <w:ilvl w:val="0"/>
          <w:numId w:val="0"/>
        </w:numPr>
        <w:tabs>
          <w:tab w:val="left" w:pos="1080"/>
        </w:tabs>
        <w:spacing w:after="0"/>
      </w:pPr>
      <w:r w:rsidRPr="001C6303">
        <w:rPr>
          <w:u w:val="none"/>
        </w:rPr>
        <w:lastRenderedPageBreak/>
        <w:t>Item 2</w:t>
      </w:r>
      <w:r w:rsidRPr="001C6303">
        <w:rPr>
          <w:u w:val="none"/>
        </w:rPr>
        <w:tab/>
      </w:r>
      <w:r w:rsidR="00BD6BBE" w:rsidRPr="001C6303">
        <w:t>Management</w:t>
      </w:r>
      <w:r w:rsidR="00B44A4C" w:rsidRPr="001C6303">
        <w:t>’</w:t>
      </w:r>
      <w:r w:rsidR="00BD6BBE" w:rsidRPr="001C6303">
        <w:t>s Discussion and Analysis of Financial Condition And Results of Operations</w:t>
      </w:r>
      <w:bookmarkEnd w:id="15"/>
    </w:p>
    <w:p w14:paraId="10D16227" w14:textId="77777777" w:rsidR="000A55AE" w:rsidRDefault="000A55AE" w:rsidP="000A55AE">
      <w:pPr>
        <w:pStyle w:val="Subtitle"/>
        <w:spacing w:after="0"/>
      </w:pPr>
    </w:p>
    <w:p w14:paraId="209E002F" w14:textId="513C4935" w:rsidR="00BD6BBE" w:rsidRPr="001C6303" w:rsidRDefault="007F5D4D" w:rsidP="000A55AE">
      <w:pPr>
        <w:pStyle w:val="Subtitle"/>
        <w:spacing w:after="0"/>
      </w:pPr>
      <w:r w:rsidRPr="001C6303">
        <w:t>FORWARD LOOKING STATEMENTS</w:t>
      </w:r>
    </w:p>
    <w:p w14:paraId="1C7FD75F" w14:textId="77777777" w:rsidR="000A55AE" w:rsidRDefault="000A55AE" w:rsidP="000A55AE">
      <w:pPr>
        <w:pStyle w:val="BodyItalic"/>
        <w:spacing w:after="0"/>
      </w:pPr>
    </w:p>
    <w:p w14:paraId="6879CCA2" w14:textId="309ACE1A" w:rsidR="005A1716" w:rsidRPr="001C6303" w:rsidRDefault="00BD6BBE" w:rsidP="000A55AE">
      <w:pPr>
        <w:pStyle w:val="BodyItalic"/>
        <w:spacing w:after="0"/>
      </w:pPr>
      <w:r w:rsidRPr="001C6303">
        <w:t>In addition to historical information, the informat</w:t>
      </w:r>
      <w:r w:rsidR="00702986" w:rsidRPr="001C6303">
        <w:t>ion included in this Form 10-Q</w:t>
      </w:r>
      <w:r w:rsidRPr="001C6303">
        <w:t xml:space="preserve"> contains forward-looking statements</w:t>
      </w:r>
      <w:r w:rsidR="005A1716" w:rsidRPr="001C6303">
        <w:t>.</w:t>
      </w:r>
      <w:r w:rsidRPr="001C6303">
        <w:t xml:space="preserve">  Forward-looking statements involve numerous risks and uncertainties</w:t>
      </w:r>
      <w:r w:rsidR="00B95DE7">
        <w:t xml:space="preserve">, including but not limited to the risk factors set forth under the heading “Risk Factors” in the Annual Report on Form 10-K for </w:t>
      </w:r>
      <w:r w:rsidR="00096B1B">
        <w:t>the year ended December 31, 201</w:t>
      </w:r>
      <w:r w:rsidR="00271E59">
        <w:t>9</w:t>
      </w:r>
      <w:r w:rsidR="00B95DE7">
        <w:t>,</w:t>
      </w:r>
      <w:r w:rsidRPr="001C6303">
        <w:t xml:space="preserve"> and should not be relied upon as predictions of future events. Certain such forward-looking statements can be identified by the use of forward-looking terminology such as </w:t>
      </w:r>
      <w:r w:rsidR="00B44A4C" w:rsidRPr="001C6303">
        <w:t>‘‘</w:t>
      </w:r>
      <w:r w:rsidRPr="001C6303">
        <w:t>believes,</w:t>
      </w:r>
      <w:r w:rsidR="00B44A4C" w:rsidRPr="001C6303">
        <w:t>’’</w:t>
      </w:r>
      <w:r w:rsidRPr="001C6303">
        <w:t xml:space="preserve"> </w:t>
      </w:r>
      <w:r w:rsidR="00B44A4C" w:rsidRPr="001C6303">
        <w:t>‘‘</w:t>
      </w:r>
      <w:r w:rsidRPr="001C6303">
        <w:t>expects,</w:t>
      </w:r>
      <w:r w:rsidR="00B44A4C" w:rsidRPr="001C6303">
        <w:t>’’</w:t>
      </w:r>
      <w:r w:rsidRPr="001C6303">
        <w:t xml:space="preserve"> </w:t>
      </w:r>
      <w:r w:rsidR="00B44A4C" w:rsidRPr="001C6303">
        <w:t>‘‘</w:t>
      </w:r>
      <w:r w:rsidRPr="001C6303">
        <w:t>may,</w:t>
      </w:r>
      <w:r w:rsidR="00B44A4C" w:rsidRPr="001C6303">
        <w:t>’’</w:t>
      </w:r>
      <w:r w:rsidRPr="001C6303">
        <w:t xml:space="preserve"> </w:t>
      </w:r>
      <w:r w:rsidR="00B44A4C" w:rsidRPr="001C6303">
        <w:t>‘‘</w:t>
      </w:r>
      <w:r w:rsidRPr="001C6303">
        <w:t>will,</w:t>
      </w:r>
      <w:r w:rsidR="00B44A4C" w:rsidRPr="001C6303">
        <w:t>’’</w:t>
      </w:r>
      <w:r w:rsidRPr="001C6303">
        <w:t xml:space="preserve"> </w:t>
      </w:r>
      <w:r w:rsidR="00B44A4C" w:rsidRPr="001C6303">
        <w:t>‘‘</w:t>
      </w:r>
      <w:r w:rsidRPr="001C6303">
        <w:t>should,</w:t>
      </w:r>
      <w:r w:rsidR="00B44A4C" w:rsidRPr="001C6303">
        <w:t>’’</w:t>
      </w:r>
      <w:r w:rsidRPr="001C6303">
        <w:t xml:space="preserve"> </w:t>
      </w:r>
      <w:r w:rsidR="00B44A4C" w:rsidRPr="001C6303">
        <w:t>‘‘</w:t>
      </w:r>
      <w:r w:rsidRPr="001C6303">
        <w:t>seeks,</w:t>
      </w:r>
      <w:r w:rsidR="00B44A4C" w:rsidRPr="001C6303">
        <w:t>’’</w:t>
      </w:r>
      <w:r w:rsidRPr="001C6303">
        <w:t xml:space="preserve"> </w:t>
      </w:r>
      <w:r w:rsidR="00B44A4C" w:rsidRPr="001C6303">
        <w:t>‘‘</w:t>
      </w:r>
      <w:r w:rsidRPr="001C6303">
        <w:t>approximately,</w:t>
      </w:r>
      <w:r w:rsidR="00B44A4C" w:rsidRPr="001C6303">
        <w:t>”</w:t>
      </w:r>
      <w:r w:rsidRPr="001C6303">
        <w:t xml:space="preserve"> </w:t>
      </w:r>
      <w:r w:rsidR="00B44A4C" w:rsidRPr="001C6303">
        <w:t>‘‘</w:t>
      </w:r>
      <w:r w:rsidRPr="001C6303">
        <w:t>intends,</w:t>
      </w:r>
      <w:r w:rsidR="00B44A4C" w:rsidRPr="001C6303">
        <w:t>’’</w:t>
      </w:r>
      <w:r w:rsidRPr="001C6303">
        <w:t xml:space="preserve"> </w:t>
      </w:r>
      <w:r w:rsidR="00B44A4C" w:rsidRPr="001C6303">
        <w:t>‘‘</w:t>
      </w:r>
      <w:r w:rsidRPr="001C6303">
        <w:t>plans,</w:t>
      </w:r>
      <w:r w:rsidR="00B44A4C" w:rsidRPr="001C6303">
        <w:t>’’</w:t>
      </w:r>
      <w:r w:rsidRPr="001C6303">
        <w:t xml:space="preserve"> </w:t>
      </w:r>
      <w:r w:rsidR="00B44A4C" w:rsidRPr="001C6303">
        <w:t>‘‘</w:t>
      </w:r>
      <w:r w:rsidRPr="001C6303">
        <w:t>pro forma,</w:t>
      </w:r>
      <w:r w:rsidR="00B44A4C" w:rsidRPr="001C6303">
        <w:t>’’</w:t>
      </w:r>
      <w:r w:rsidRPr="001C6303">
        <w:t xml:space="preserve"> </w:t>
      </w:r>
      <w:r w:rsidR="00B44A4C" w:rsidRPr="001C6303">
        <w:t>‘‘</w:t>
      </w:r>
      <w:r w:rsidRPr="001C6303">
        <w:t>estimates,</w:t>
      </w:r>
      <w:r w:rsidR="00B44A4C" w:rsidRPr="001C6303">
        <w:t>’’</w:t>
      </w:r>
      <w:r w:rsidRPr="001C6303">
        <w:t xml:space="preserve"> or </w:t>
      </w:r>
      <w:r w:rsidR="00B44A4C" w:rsidRPr="001C6303">
        <w:t>‘‘</w:t>
      </w:r>
      <w:r w:rsidRPr="001C6303">
        <w:t>anticipates</w:t>
      </w:r>
      <w:r w:rsidR="00B44A4C" w:rsidRPr="001C6303">
        <w:t>’’</w:t>
      </w:r>
      <w:r w:rsidRPr="001C6303">
        <w:t xml:space="preserve"> or other variations thereof or comparable terminology, or by discussions of strategy, plans</w:t>
      </w:r>
      <w:r w:rsidR="00D068B8">
        <w:t>,</w:t>
      </w:r>
      <w:r w:rsidRPr="001C6303">
        <w:t xml:space="preserve"> or intentions. Such forward-looking statements are necessarily dependent on assumptions, data</w:t>
      </w:r>
      <w:r w:rsidR="00D068B8">
        <w:t>,</w:t>
      </w:r>
      <w:r w:rsidRPr="001C6303">
        <w:t xml:space="preserve"> or methods that may be incorrect or imprecise and may be incapable of being realized. The following factors, among others, could cause actual results and future events to differ materially from those set forth or contemplated in the forward-looking statements: </w:t>
      </w:r>
    </w:p>
    <w:p w14:paraId="23AC6095" w14:textId="77777777" w:rsidR="005A1716" w:rsidRPr="001C6303" w:rsidRDefault="005A1716" w:rsidP="000A55AE">
      <w:pPr>
        <w:pStyle w:val="BodyItalic"/>
        <w:numPr>
          <w:ilvl w:val="0"/>
          <w:numId w:val="4"/>
        </w:numPr>
        <w:spacing w:after="0"/>
        <w:ind w:left="360"/>
      </w:pPr>
      <w:r w:rsidRPr="001C6303">
        <w:t>whether we can raise additional capital as and when we need it;</w:t>
      </w:r>
    </w:p>
    <w:p w14:paraId="27020607" w14:textId="77777777" w:rsidR="005A1716" w:rsidRPr="001C6303" w:rsidRDefault="005A1716" w:rsidP="000A55AE">
      <w:pPr>
        <w:pStyle w:val="BodyItalic"/>
        <w:numPr>
          <w:ilvl w:val="0"/>
          <w:numId w:val="4"/>
        </w:numPr>
        <w:spacing w:after="0"/>
        <w:ind w:left="360"/>
      </w:pPr>
      <w:r w:rsidRPr="001C6303">
        <w:t xml:space="preserve">whether we are successful in developing our </w:t>
      </w:r>
      <w:r w:rsidR="00BD6BBE" w:rsidRPr="001C6303">
        <w:t>product</w:t>
      </w:r>
      <w:r w:rsidR="00B9332C" w:rsidRPr="001C6303">
        <w:t>s</w:t>
      </w:r>
      <w:r w:rsidRPr="001C6303">
        <w:t>;</w:t>
      </w:r>
    </w:p>
    <w:p w14:paraId="13AE027A" w14:textId="77777777" w:rsidR="005A1716" w:rsidRPr="001C6303" w:rsidRDefault="005A1716" w:rsidP="000A55AE">
      <w:pPr>
        <w:pStyle w:val="BodyItalic"/>
        <w:numPr>
          <w:ilvl w:val="0"/>
          <w:numId w:val="4"/>
        </w:numPr>
        <w:spacing w:after="0"/>
        <w:ind w:left="360"/>
      </w:pPr>
      <w:r w:rsidRPr="001C6303">
        <w:t>whether we are able</w:t>
      </w:r>
      <w:r w:rsidR="00BD6BBE" w:rsidRPr="001C6303">
        <w:t xml:space="preserve"> to obtain regulatory approvals in the United States and other countries</w:t>
      </w:r>
      <w:r w:rsidRPr="001C6303">
        <w:t xml:space="preserve"> for sale of our product</w:t>
      </w:r>
      <w:r w:rsidR="00B9332C" w:rsidRPr="001C6303">
        <w:t>s</w:t>
      </w:r>
      <w:r w:rsidRPr="001C6303">
        <w:t>;</w:t>
      </w:r>
    </w:p>
    <w:p w14:paraId="15A1C42F" w14:textId="77777777" w:rsidR="005A1716" w:rsidRPr="001C6303" w:rsidRDefault="005A1716" w:rsidP="000A55AE">
      <w:pPr>
        <w:pStyle w:val="BodyItalic"/>
        <w:numPr>
          <w:ilvl w:val="0"/>
          <w:numId w:val="4"/>
        </w:numPr>
        <w:spacing w:after="0"/>
        <w:ind w:left="360"/>
      </w:pPr>
      <w:r w:rsidRPr="001C6303">
        <w:t>whether we can compete successfully with others in our market</w:t>
      </w:r>
      <w:r w:rsidR="00933EC4" w:rsidRPr="001C6303">
        <w:t>; and</w:t>
      </w:r>
    </w:p>
    <w:p w14:paraId="79F00BF3" w14:textId="77777777" w:rsidR="00933EC4" w:rsidRPr="001C6303" w:rsidRDefault="00933EC4" w:rsidP="000A55AE">
      <w:pPr>
        <w:pStyle w:val="BodyItalic"/>
        <w:numPr>
          <w:ilvl w:val="0"/>
          <w:numId w:val="4"/>
        </w:numPr>
        <w:spacing w:after="0"/>
        <w:ind w:left="360"/>
      </w:pPr>
      <w:r w:rsidRPr="001C6303">
        <w:t>whether we are adversely affected in our efforts to raise cash by the volatility and disruption of local and national economic, credit and capital markets and the economy in general.</w:t>
      </w:r>
    </w:p>
    <w:p w14:paraId="1EDB1A39" w14:textId="77777777" w:rsidR="000A55AE" w:rsidRDefault="000A55AE" w:rsidP="000A55AE">
      <w:pPr>
        <w:pStyle w:val="BodyItalic"/>
        <w:spacing w:after="0"/>
      </w:pPr>
    </w:p>
    <w:p w14:paraId="0907510F" w14:textId="6F760CEF" w:rsidR="00BD6BBE" w:rsidRPr="001C6303" w:rsidRDefault="00BD6BBE" w:rsidP="000A55AE">
      <w:pPr>
        <w:pStyle w:val="BodyItalic"/>
        <w:spacing w:after="0"/>
      </w:pPr>
      <w:r w:rsidRPr="001C6303">
        <w:t>Readers are cautioned not to place undue reliance on forward-looking statements, which reflect our management</w:t>
      </w:r>
      <w:r w:rsidR="00B44A4C" w:rsidRPr="001C6303">
        <w:t>’</w:t>
      </w:r>
      <w:r w:rsidRPr="001C6303">
        <w:t xml:space="preserve">s analysis only. We assume no obligation to update forward-looking statements. </w:t>
      </w:r>
    </w:p>
    <w:p w14:paraId="7C583FCF" w14:textId="77777777" w:rsidR="000A55AE" w:rsidRDefault="000A55AE" w:rsidP="000A55AE">
      <w:pPr>
        <w:pStyle w:val="BodyTitle"/>
        <w:spacing w:after="0"/>
        <w:rPr>
          <w:b/>
          <w:u w:val="none"/>
        </w:rPr>
      </w:pPr>
    </w:p>
    <w:p w14:paraId="78BD4F96" w14:textId="5689B7AD" w:rsidR="00A840E6" w:rsidRPr="001C6303" w:rsidRDefault="00A840E6" w:rsidP="000A55AE">
      <w:pPr>
        <w:pStyle w:val="BodyTitle"/>
        <w:spacing w:after="0"/>
        <w:rPr>
          <w:b/>
          <w:u w:val="none"/>
        </w:rPr>
      </w:pPr>
      <w:r>
        <w:rPr>
          <w:b/>
          <w:u w:val="none"/>
        </w:rPr>
        <w:t>Overview</w:t>
      </w:r>
    </w:p>
    <w:p w14:paraId="0914EBAA" w14:textId="77777777" w:rsidR="0025217A" w:rsidRDefault="0025217A" w:rsidP="0025217A"/>
    <w:p w14:paraId="56F95AF8" w14:textId="128B8185" w:rsidR="0025217A" w:rsidRPr="0025217A" w:rsidRDefault="0025217A" w:rsidP="0025217A">
      <w:r w:rsidRPr="0025217A">
        <w:t>GeoVax is a clinical-stage biotechnology company developing human vaccines against infectious diseases and cancer using a novel patented Modified Vaccinia Ankara</w:t>
      </w:r>
      <w:r w:rsidR="002D1A5A">
        <w:t xml:space="preserve"> (MVA) </w:t>
      </w:r>
      <w:r w:rsidRPr="0025217A">
        <w:t>Virus Like Particle</w:t>
      </w:r>
      <w:r w:rsidR="002D1A5A">
        <w:t xml:space="preserve"> (VLP)</w:t>
      </w:r>
      <w:r w:rsidRPr="0025217A">
        <w:t xml:space="preserve"> vaccine platform</w:t>
      </w:r>
      <w:r w:rsidR="002D1A5A">
        <w:t xml:space="preserve"> (GV-MVA-VLP</w:t>
      </w:r>
      <w:r w:rsidR="002D1A5A" w:rsidRPr="002D1A5A">
        <w:rPr>
          <w:vertAlign w:val="superscript"/>
        </w:rPr>
        <w:t>TM</w:t>
      </w:r>
      <w:r w:rsidR="002D1A5A">
        <w:t>)</w:t>
      </w:r>
      <w:r w:rsidRPr="0025217A">
        <w:t xml:space="preserve">.  In this platform, MVA, a large virus capable of carrying several vaccine antigens, expresses proteins that assemble into VLP immunogens in the person being vaccinated.  The </w:t>
      </w:r>
      <w:r w:rsidR="006F2532">
        <w:t xml:space="preserve">GeoVax </w:t>
      </w:r>
      <w:r w:rsidRPr="0025217A">
        <w:t>MVA-VLP derived vaccines elicit durable immune responses in the host similar to a live-attenuated virus, while providing the safety characteristics of a replication-defective vector.</w:t>
      </w:r>
    </w:p>
    <w:p w14:paraId="3723BA21" w14:textId="77777777" w:rsidR="0025217A" w:rsidRPr="0025217A" w:rsidRDefault="0025217A" w:rsidP="0025217A"/>
    <w:p w14:paraId="6A96B052" w14:textId="268C7655" w:rsidR="00925E4B" w:rsidRPr="00E576BB" w:rsidRDefault="00925E4B" w:rsidP="00925E4B">
      <w:r w:rsidRPr="00E576BB">
        <w:t xml:space="preserve">Our current development programs are focused on preventive vaccines against </w:t>
      </w:r>
      <w:r w:rsidR="002D1A5A">
        <w:t xml:space="preserve">novel </w:t>
      </w:r>
      <w:r w:rsidRPr="00E576BB">
        <w:t xml:space="preserve">coronavirus (COVID-19), Human Immunodeficiency Virus (HIV), Zika Virus, hemorrhagic fever viruses (Ebola, Sudan, Marburg, Lassa), and malaria, as well as therapeutic vaccines for chronic Hepatitis B infections and cancers. We believe our technology and vaccine development expertise are well-suited for a variety of human infectious diseases and we intend to pursue further expansion of our product pipeline. </w:t>
      </w:r>
    </w:p>
    <w:p w14:paraId="05E80268" w14:textId="77777777" w:rsidR="0025217A" w:rsidRPr="0025217A" w:rsidRDefault="0025217A" w:rsidP="0025217A"/>
    <w:p w14:paraId="30B10CB3" w14:textId="0B40CD09" w:rsidR="0025217A" w:rsidRPr="0025217A" w:rsidRDefault="0025217A" w:rsidP="0025217A">
      <w:r w:rsidRPr="0025217A">
        <w:t xml:space="preserve">Our corporate strategy is to improve the health of patients worldwide by advancing our vaccine platform, using its unique capabilities to design and develop an array of products addressing unmet medical needs in the areas of infectious diseases and oncology. We </w:t>
      </w:r>
      <w:r w:rsidR="0003701D">
        <w:t>intend</w:t>
      </w:r>
      <w:r w:rsidRPr="0025217A">
        <w:t xml:space="preserve"> to advance products through to human clinical testing, and to seek partnership or licensing arrangements for commercialization. We also leverage third party resources through government, academic and corporate research collaborations and partnerships for preclinical and clinical testing.</w:t>
      </w:r>
    </w:p>
    <w:p w14:paraId="1340FC5B" w14:textId="77777777" w:rsidR="0025217A" w:rsidRPr="0025217A" w:rsidRDefault="0025217A" w:rsidP="0025217A"/>
    <w:p w14:paraId="6F0D9798" w14:textId="1D456D07" w:rsidR="003C73D3" w:rsidRDefault="0025217A" w:rsidP="000A55AE">
      <w:r w:rsidRPr="0025217A">
        <w:t>We have not generated any revenues from the sale of any such products,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We may not be successful in our research and development efforts, and we may never generate sufficient product revenue to be profitable.</w:t>
      </w:r>
    </w:p>
    <w:p w14:paraId="4A9F38FB" w14:textId="77777777" w:rsidR="000A55AE" w:rsidRPr="003C73D3" w:rsidRDefault="000A55AE" w:rsidP="000A55AE"/>
    <w:p w14:paraId="7020D5CF" w14:textId="77777777" w:rsidR="00385703" w:rsidRDefault="00385703" w:rsidP="000A55AE">
      <w:pPr>
        <w:ind w:left="132"/>
        <w:rPr>
          <w:color w:val="000000"/>
          <w:sz w:val="2"/>
          <w:szCs w:val="2"/>
        </w:rPr>
      </w:pPr>
      <w:r>
        <w:rPr>
          <w:color w:val="000000"/>
          <w:sz w:val="2"/>
          <w:szCs w:val="2"/>
        </w:rPr>
        <w:t> </w:t>
      </w:r>
    </w:p>
    <w:p w14:paraId="36B76BCC" w14:textId="77777777" w:rsidR="00A840E6" w:rsidRPr="001C6303" w:rsidRDefault="00A840E6" w:rsidP="000A55AE">
      <w:pPr>
        <w:pStyle w:val="BodyTitle"/>
        <w:spacing w:after="0"/>
        <w:rPr>
          <w:b/>
          <w:u w:val="none"/>
        </w:rPr>
      </w:pPr>
      <w:r>
        <w:rPr>
          <w:b/>
          <w:u w:val="none"/>
        </w:rPr>
        <w:t>Critical Accounting Policies and Estimates</w:t>
      </w:r>
    </w:p>
    <w:p w14:paraId="64C41239" w14:textId="77777777" w:rsidR="000A55AE" w:rsidRDefault="000A55AE" w:rsidP="000A55AE"/>
    <w:p w14:paraId="0C315897" w14:textId="77777777" w:rsidR="0025217A" w:rsidRPr="0025217A" w:rsidRDefault="0025217A" w:rsidP="0025217A">
      <w:r w:rsidRPr="0025217A">
        <w:t xml:space="preserve">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w:t>
      </w:r>
      <w:r w:rsidRPr="0025217A">
        <w:lastRenderedPageBreak/>
        <w:t>results of which form the basis for making judgments about the carrying values of assets and liabilities that are not readily apparent from other sources. Actual results may differ materially from these estimates under different assumptions or conditions.</w:t>
      </w:r>
    </w:p>
    <w:p w14:paraId="6C9F1B28" w14:textId="77777777" w:rsidR="000A55AE" w:rsidRPr="001C6303" w:rsidRDefault="000A55AE" w:rsidP="000A55AE"/>
    <w:p w14:paraId="4855563E" w14:textId="24A80E60" w:rsidR="004A028C" w:rsidRDefault="004A028C" w:rsidP="000A55AE">
      <w:r w:rsidRPr="004A028C">
        <w:t>For a description of critical accounting policies that affect our significant judgments and estimates used in the preparation of our financial statements, refer to Item 7 in Management’s Discussion and Analysis of Financial Condition and Results of Operations and Note 2 to our Consolidated Financial Statements contained in our Annual Report</w:t>
      </w:r>
      <w:r>
        <w:t xml:space="preserve"> on Form 10-K for the year ended December 31, 201</w:t>
      </w:r>
      <w:r w:rsidR="00925E4B">
        <w:t>9</w:t>
      </w:r>
      <w:r w:rsidRPr="004A028C">
        <w:t xml:space="preserve">. </w:t>
      </w:r>
      <w:r>
        <w:t>T</w:t>
      </w:r>
      <w:r w:rsidRPr="004A028C">
        <w:t>here have been no significant changes to our critical accounting policies from those disclosed in our 201</w:t>
      </w:r>
      <w:r w:rsidR="00925E4B">
        <w:t>9</w:t>
      </w:r>
      <w:r w:rsidRPr="004A028C">
        <w:t xml:space="preserve"> Annual Report</w:t>
      </w:r>
      <w:r>
        <w:t>.</w:t>
      </w:r>
    </w:p>
    <w:p w14:paraId="26D8200B" w14:textId="77777777" w:rsidR="000A55AE" w:rsidRDefault="000A55AE" w:rsidP="000A55AE">
      <w:pPr>
        <w:pStyle w:val="BodyTitle"/>
        <w:spacing w:after="0"/>
        <w:rPr>
          <w:b/>
          <w:u w:val="none"/>
        </w:rPr>
      </w:pPr>
    </w:p>
    <w:p w14:paraId="611126D7" w14:textId="2EE1C891" w:rsidR="004A028C" w:rsidRPr="001C6303" w:rsidRDefault="004A028C" w:rsidP="000A55AE">
      <w:pPr>
        <w:pStyle w:val="BodyTitle"/>
        <w:spacing w:after="0"/>
        <w:rPr>
          <w:b/>
          <w:u w:val="none"/>
        </w:rPr>
      </w:pPr>
      <w:r>
        <w:rPr>
          <w:b/>
          <w:u w:val="none"/>
        </w:rPr>
        <w:t>Recent Accounting Pronouncements</w:t>
      </w:r>
    </w:p>
    <w:p w14:paraId="04405611" w14:textId="77777777" w:rsidR="000A55AE" w:rsidRDefault="000A55AE" w:rsidP="000A55AE"/>
    <w:p w14:paraId="2694DDD8" w14:textId="2B170206" w:rsidR="004A028C" w:rsidRDefault="004A028C" w:rsidP="000A55AE">
      <w:r w:rsidRPr="004A028C">
        <w:t>Information regarding recent accounting pronouncements is contained in Note </w:t>
      </w:r>
      <w:r w:rsidR="00F63074">
        <w:t>3</w:t>
      </w:r>
      <w:r w:rsidRPr="004A028C">
        <w:t xml:space="preserve"> to the </w:t>
      </w:r>
      <w:r w:rsidR="0025217A">
        <w:t>c</w:t>
      </w:r>
      <w:r w:rsidRPr="004A028C">
        <w:t xml:space="preserve">ondensed </w:t>
      </w:r>
      <w:r w:rsidR="0025217A">
        <w:t>c</w:t>
      </w:r>
      <w:r w:rsidRPr="004A028C">
        <w:t xml:space="preserve">onsolidated </w:t>
      </w:r>
      <w:r w:rsidR="0025217A">
        <w:t>f</w:t>
      </w:r>
      <w:r w:rsidRPr="004A028C">
        <w:t xml:space="preserve">inancial </w:t>
      </w:r>
      <w:r w:rsidR="0025217A">
        <w:t>s</w:t>
      </w:r>
      <w:r w:rsidRPr="004A028C">
        <w:t>tatements, included in this Quarterly Report</w:t>
      </w:r>
      <w:r w:rsidR="00F63074">
        <w:t>.</w:t>
      </w:r>
    </w:p>
    <w:p w14:paraId="32F7223F" w14:textId="77777777" w:rsidR="000A55AE" w:rsidRDefault="000A55AE" w:rsidP="000A55AE">
      <w:pPr>
        <w:pStyle w:val="BodyTitle"/>
        <w:spacing w:after="0"/>
        <w:rPr>
          <w:b/>
          <w:u w:val="none"/>
        </w:rPr>
      </w:pPr>
    </w:p>
    <w:p w14:paraId="4DC86191" w14:textId="33327D21" w:rsidR="00A420E8" w:rsidRPr="001C6303" w:rsidRDefault="00A420E8" w:rsidP="000A55AE">
      <w:pPr>
        <w:pStyle w:val="BodyTitle"/>
        <w:spacing w:after="0"/>
        <w:rPr>
          <w:b/>
          <w:u w:val="none"/>
        </w:rPr>
      </w:pPr>
      <w:r w:rsidRPr="001C6303">
        <w:rPr>
          <w:b/>
          <w:u w:val="none"/>
        </w:rPr>
        <w:t>Liquidity and Capital Resources</w:t>
      </w:r>
    </w:p>
    <w:p w14:paraId="15E2F672" w14:textId="77777777" w:rsidR="000A55AE" w:rsidRDefault="000A55AE" w:rsidP="000A55AE"/>
    <w:p w14:paraId="604FE554" w14:textId="4DE74C10" w:rsidR="00925E4B" w:rsidRDefault="00925E4B" w:rsidP="00925E4B">
      <w:r>
        <w:t>O</w:t>
      </w:r>
      <w:r w:rsidRPr="00612B10">
        <w:t xml:space="preserve">ur </w:t>
      </w:r>
      <w:r>
        <w:t>principal</w:t>
      </w:r>
      <w:r w:rsidRPr="00612B10">
        <w:t xml:space="preserve"> uses of cash </w:t>
      </w:r>
      <w:r>
        <w:t>are</w:t>
      </w:r>
      <w:r w:rsidRPr="00612B10">
        <w:t xml:space="preserve"> to finance our resear</w:t>
      </w:r>
      <w:r>
        <w:t xml:space="preserve">ch and development activities. </w:t>
      </w:r>
      <w:r w:rsidRPr="00612B10">
        <w:t>Since inception, we have funded these activities primarily from government grants and clinical trial assistance, and from sales of our equity securities.</w:t>
      </w:r>
      <w:r>
        <w:t xml:space="preserve"> </w:t>
      </w:r>
      <w:r w:rsidRPr="00612B10">
        <w:t xml:space="preserve">At </w:t>
      </w:r>
      <w:r>
        <w:t>March</w:t>
      </w:r>
      <w:r w:rsidR="00271E59">
        <w:t> </w:t>
      </w:r>
      <w:r>
        <w:t>31, 2020</w:t>
      </w:r>
      <w:r w:rsidRPr="00612B10">
        <w:t>, we had cash and cash equivalents of $</w:t>
      </w:r>
      <w:r>
        <w:t>221,807</w:t>
      </w:r>
      <w:r w:rsidRPr="00612B10">
        <w:t xml:space="preserve"> and total assets of $</w:t>
      </w:r>
      <w:r>
        <w:t>830,833</w:t>
      </w:r>
      <w:r w:rsidRPr="00612B10">
        <w:t>, as compared to $</w:t>
      </w:r>
      <w:r>
        <w:t>283,341</w:t>
      </w:r>
      <w:r w:rsidRPr="00612B10">
        <w:t xml:space="preserve"> and $</w:t>
      </w:r>
      <w:r>
        <w:t>468,880</w:t>
      </w:r>
      <w:r w:rsidRPr="00612B10">
        <w:t xml:space="preserve">, respectively, at </w:t>
      </w:r>
      <w:r>
        <w:t>December 31, 2019</w:t>
      </w:r>
      <w:r w:rsidRPr="00612B10">
        <w:t xml:space="preserve">. </w:t>
      </w:r>
      <w:r>
        <w:t>At March 31, 2020, we had a w</w:t>
      </w:r>
      <w:r w:rsidRPr="00612B10">
        <w:t xml:space="preserve">orking capital </w:t>
      </w:r>
      <w:r w:rsidRPr="00271E59">
        <w:t>deficit of $1,860,081, compared to $1,568,929 at December 31, 2019. Our current liabilities at March 31, 2020 include $</w:t>
      </w:r>
      <w:r w:rsidR="00271E59" w:rsidRPr="00271E59">
        <w:t>1,855</w:t>
      </w:r>
      <w:r w:rsidR="00271E59">
        <w:t>,717</w:t>
      </w:r>
      <w:r>
        <w:t xml:space="preserve"> of accrued management salaries and director fees, payment of which is still being deferred as discussed further below.</w:t>
      </w:r>
    </w:p>
    <w:p w14:paraId="741DAFBD" w14:textId="77777777" w:rsidR="00925E4B" w:rsidRDefault="00925E4B" w:rsidP="00925E4B"/>
    <w:p w14:paraId="31EBD8E7" w14:textId="7C1F4B96" w:rsidR="00925E4B" w:rsidRPr="007A4B96" w:rsidRDefault="00925E4B" w:rsidP="00925E4B">
      <w:r w:rsidRPr="00612B10">
        <w:t>Net cash used in operating activities was</w:t>
      </w:r>
      <w:r>
        <w:t xml:space="preserve"> </w:t>
      </w:r>
      <w:r w:rsidRPr="00612B10">
        <w:t>$</w:t>
      </w:r>
      <w:r>
        <w:t xml:space="preserve">358,620 </w:t>
      </w:r>
      <w:r w:rsidRPr="00612B10">
        <w:t xml:space="preserve">and </w:t>
      </w:r>
      <w:r>
        <w:t>$317</w:t>
      </w:r>
      <w:r w:rsidR="0065681E">
        <w:t>,</w:t>
      </w:r>
      <w:r>
        <w:t xml:space="preserve">361 </w:t>
      </w:r>
      <w:r w:rsidRPr="00612B10">
        <w:t xml:space="preserve">for the </w:t>
      </w:r>
      <w:r>
        <w:t>three-month periods</w:t>
      </w:r>
      <w:r w:rsidRPr="00612B10">
        <w:t xml:space="preserve"> ended </w:t>
      </w:r>
      <w:r>
        <w:t>March 31, 2020 and 2019</w:t>
      </w:r>
      <w:r w:rsidRPr="00612B10">
        <w:t>, respectively.</w:t>
      </w:r>
      <w:r>
        <w:t xml:space="preserve"> Generally, t</w:t>
      </w:r>
      <w:r w:rsidRPr="00612B10">
        <w:t>he variances between periods are due to fluctuations in our net losses, offset by non-cash charges such as depreciation and stock-based compensation expense, and by net changes in our assets and liabilities. Our net losses generally fluctuate based on expenditures for our research activities, partially offset by government grant revenues.</w:t>
      </w:r>
      <w:r>
        <w:t xml:space="preserve"> </w:t>
      </w:r>
      <w:r w:rsidRPr="007A4B96">
        <w:t xml:space="preserve">As of </w:t>
      </w:r>
      <w:r w:rsidR="00D503C2">
        <w:t>March</w:t>
      </w:r>
      <w:r w:rsidRPr="007A4B96">
        <w:t xml:space="preserve"> 3</w:t>
      </w:r>
      <w:r w:rsidR="00D503C2">
        <w:t>1</w:t>
      </w:r>
      <w:r w:rsidRPr="007A4B96">
        <w:t>, 20</w:t>
      </w:r>
      <w:r w:rsidR="00D503C2">
        <w:t>20</w:t>
      </w:r>
      <w:r w:rsidRPr="007A4B96">
        <w:t>, there is</w:t>
      </w:r>
      <w:r>
        <w:t xml:space="preserve"> $</w:t>
      </w:r>
      <w:r w:rsidR="00B06C0B">
        <w:t>606,944</w:t>
      </w:r>
      <w:r>
        <w:t xml:space="preserve"> </w:t>
      </w:r>
      <w:r w:rsidRPr="007A4B96">
        <w:t>in approved grant funds available for use during 2020</w:t>
      </w:r>
      <w:r w:rsidR="000504C2">
        <w:t xml:space="preserve"> and approximately $307,000 of upcoming billable fees pursuant to collaborative arrangements</w:t>
      </w:r>
      <w:r w:rsidRPr="007A4B96">
        <w:t>.</w:t>
      </w:r>
      <w:r w:rsidRPr="007A4B96">
        <w:rPr>
          <w:rFonts w:ascii="CG Times (WN)" w:hAnsi="CG Times (WN)"/>
        </w:rPr>
        <w:t xml:space="preserve"> </w:t>
      </w:r>
      <w:r w:rsidRPr="000504C2">
        <w:rPr>
          <w:rFonts w:ascii="CG Times (WN)" w:hAnsi="CG Times (WN)"/>
        </w:rPr>
        <w:t>Of th</w:t>
      </w:r>
      <w:r w:rsidR="000504C2" w:rsidRPr="000504C2">
        <w:rPr>
          <w:rFonts w:ascii="CG Times (WN)" w:hAnsi="CG Times (WN)"/>
        </w:rPr>
        <w:t>ese</w:t>
      </w:r>
      <w:r w:rsidRPr="007A4B96">
        <w:rPr>
          <w:rFonts w:ascii="CG Times (WN)" w:hAnsi="CG Times (WN)"/>
        </w:rPr>
        <w:t xml:space="preserve"> amount</w:t>
      </w:r>
      <w:r w:rsidR="000504C2">
        <w:rPr>
          <w:rFonts w:ascii="CG Times (WN)" w:hAnsi="CG Times (WN)"/>
        </w:rPr>
        <w:t>s</w:t>
      </w:r>
      <w:r w:rsidRPr="007A4B96">
        <w:rPr>
          <w:rFonts w:ascii="CG Times (WN)" w:hAnsi="CG Times (WN)"/>
        </w:rPr>
        <w:t>, we expect that</w:t>
      </w:r>
      <w:r>
        <w:rPr>
          <w:rFonts w:ascii="CG Times (WN)" w:hAnsi="CG Times (WN)"/>
        </w:rPr>
        <w:t xml:space="preserve"> $</w:t>
      </w:r>
      <w:r w:rsidR="00B06C0B">
        <w:rPr>
          <w:rFonts w:ascii="CG Times (WN)" w:hAnsi="CG Times (WN)"/>
        </w:rPr>
        <w:t>538,668</w:t>
      </w:r>
      <w:r>
        <w:rPr>
          <w:rFonts w:ascii="CG Times (WN)" w:hAnsi="CG Times (WN)"/>
        </w:rPr>
        <w:t xml:space="preserve"> </w:t>
      </w:r>
      <w:r w:rsidRPr="007A4B96">
        <w:rPr>
          <w:rFonts w:ascii="CG Times (WN)" w:hAnsi="CG Times (WN)"/>
        </w:rPr>
        <w:t xml:space="preserve">will be used by us to reimburse third parties who will provide services covered by </w:t>
      </w:r>
      <w:r w:rsidR="000504C2">
        <w:rPr>
          <w:rFonts w:ascii="CG Times (WN)" w:hAnsi="CG Times (WN)"/>
        </w:rPr>
        <w:t xml:space="preserve">our </w:t>
      </w:r>
      <w:r w:rsidRPr="007A4B96">
        <w:rPr>
          <w:rFonts w:ascii="CG Times (WN)" w:hAnsi="CG Times (WN)"/>
        </w:rPr>
        <w:t>grants. See “Results of Operations – Grant and Collaboration Revenues” below for additional details concerning our government grants.</w:t>
      </w:r>
    </w:p>
    <w:p w14:paraId="3FECD77B" w14:textId="77777777" w:rsidR="00925E4B" w:rsidRDefault="00925E4B" w:rsidP="00925E4B">
      <w:pPr>
        <w:rPr>
          <w:rFonts w:ascii="CG Times (WN)" w:hAnsi="CG Times (WN)"/>
        </w:rPr>
      </w:pPr>
    </w:p>
    <w:p w14:paraId="78E948B8" w14:textId="79F21C4F" w:rsidR="00A34115" w:rsidRDefault="00A34115" w:rsidP="00A34115">
      <w:r w:rsidRPr="00D013D7">
        <w:t xml:space="preserve">Members of our executive management team </w:t>
      </w:r>
      <w:r>
        <w:t>are</w:t>
      </w:r>
      <w:r w:rsidRPr="00D013D7">
        <w:t xml:space="preserve"> defer</w:t>
      </w:r>
      <w:r>
        <w:t>ring receipt of</w:t>
      </w:r>
      <w:r w:rsidRPr="00D013D7">
        <w:t xml:space="preserve"> portions of their salaries and </w:t>
      </w:r>
      <w:r>
        <w:t xml:space="preserve">members of our board of directors are deferring receipt of all of their </w:t>
      </w:r>
      <w:r w:rsidRPr="00D013D7">
        <w:t xml:space="preserve">fees in order to help conserve the Company’s cash </w:t>
      </w:r>
      <w:r w:rsidRPr="00F425CA">
        <w:t xml:space="preserve">resources. As of </w:t>
      </w:r>
      <w:r>
        <w:t>Marc</w:t>
      </w:r>
      <w:r w:rsidR="000504C2">
        <w:t>h</w:t>
      </w:r>
      <w:r w:rsidRPr="00F425CA">
        <w:t xml:space="preserve"> 3</w:t>
      </w:r>
      <w:r>
        <w:t>1</w:t>
      </w:r>
      <w:r w:rsidRPr="00F425CA">
        <w:t>, 20</w:t>
      </w:r>
      <w:r>
        <w:t>20</w:t>
      </w:r>
      <w:r w:rsidRPr="00F425CA">
        <w:t>, the accumulated deferrals totaled $</w:t>
      </w:r>
      <w:r w:rsidR="000504C2">
        <w:t>1,855,717</w:t>
      </w:r>
      <w:r w:rsidRPr="00F425CA">
        <w:t xml:space="preserve">. We expect the ongoing deferrals of approximately </w:t>
      </w:r>
      <w:r w:rsidRPr="000504C2">
        <w:t>$31,800 per month for the management salaries to continue until such time as a significant financing event (as determined by the board</w:t>
      </w:r>
      <w:r w:rsidRPr="00D013D7">
        <w:t xml:space="preserve"> of directors) is consummated</w:t>
      </w:r>
      <w:r>
        <w:t>.</w:t>
      </w:r>
    </w:p>
    <w:p w14:paraId="2897AA1D" w14:textId="77777777" w:rsidR="00A34115" w:rsidRDefault="00A34115" w:rsidP="00A34115"/>
    <w:p w14:paraId="5D65EA55" w14:textId="625EED16" w:rsidR="00A34115" w:rsidRDefault="00A34115" w:rsidP="00A34115">
      <w:r w:rsidRPr="0039334E">
        <w:t xml:space="preserve">NIAID has funded the costs of conducting all of our human clinical trials (Phase 1 and Phase 2a) to date for our preventive HIV vaccines, with GeoVax incurring certain costs associated with manufacturing the clinical vaccine supplies and other study support. </w:t>
      </w:r>
      <w:r>
        <w:t xml:space="preserve">We expect that </w:t>
      </w:r>
      <w:r w:rsidRPr="0039334E">
        <w:t xml:space="preserve">NIAID </w:t>
      </w:r>
      <w:r>
        <w:t>will also fund</w:t>
      </w:r>
      <w:r w:rsidRPr="0039334E">
        <w:t xml:space="preserve"> the cost of </w:t>
      </w:r>
      <w:r>
        <w:t xml:space="preserve">the planned </w:t>
      </w:r>
      <w:r w:rsidRPr="0039334E">
        <w:t>Phase 1 trial (HVTN 1</w:t>
      </w:r>
      <w:r>
        <w:t>32</w:t>
      </w:r>
      <w:r w:rsidRPr="0039334E">
        <w:t xml:space="preserve">) to further evaluate the safety and immunogenicity </w:t>
      </w:r>
      <w:r w:rsidRPr="000504C2">
        <w:t>of adding “protein boost” components to our vaccine, GOVX-B11. We expect HVTN 132 to commence patient enrollment in late 2020. Additionally, we are party to a collaboration with American Gene Technologies International, Inc. (AGT) whereby AGT intends to conduct a Phase 1 human clinical trial with our combined technologies, with the ultimate goal of developing a functional cure for HIV infection.  We expect that AGT will begin the phase 1 trial during 2020. A similar effort is underway with a consortium led by researchers at the University of California, San Francisco (UCSF), using our vaccine as part of a combinational therapy to induce remission in HIV-positive individuals.  We also expect this program to enter clinical trials during 2020.</w:t>
      </w:r>
      <w:r w:rsidR="000504C2">
        <w:t xml:space="preserve">  However, each of these programs could be delayed as a result of the ongoing COVID-19 pandemic.</w:t>
      </w:r>
    </w:p>
    <w:p w14:paraId="0096338F" w14:textId="77777777" w:rsidR="007A4B96" w:rsidRDefault="007A4B96" w:rsidP="000A55AE"/>
    <w:p w14:paraId="5643FAFF" w14:textId="764CE8BA" w:rsidR="00612B10" w:rsidRDefault="00612B10" w:rsidP="000A55AE">
      <w:r w:rsidRPr="00612B10">
        <w:t xml:space="preserve">Net cash used in investing activities was </w:t>
      </w:r>
      <w:r w:rsidR="00D503C2">
        <w:t xml:space="preserve">$-0- and </w:t>
      </w:r>
      <w:r w:rsidR="0024365D">
        <w:t>$</w:t>
      </w:r>
      <w:r w:rsidR="00CA7960">
        <w:t>4,272</w:t>
      </w:r>
      <w:r w:rsidRPr="00612B10">
        <w:t xml:space="preserve"> for t</w:t>
      </w:r>
      <w:r>
        <w:t>he three-month periods</w:t>
      </w:r>
      <w:r w:rsidRPr="00612B10">
        <w:t xml:space="preserve"> ended </w:t>
      </w:r>
      <w:r>
        <w:t>March 31, 20</w:t>
      </w:r>
      <w:r w:rsidR="00D503C2">
        <w:t>20</w:t>
      </w:r>
      <w:r>
        <w:t xml:space="preserve"> and 201</w:t>
      </w:r>
      <w:r w:rsidR="00D503C2">
        <w:t>9</w:t>
      </w:r>
      <w:r w:rsidRPr="00612B10">
        <w:t>, respectively. Our investing activities have consisted predominantly of capital expenditures.</w:t>
      </w:r>
    </w:p>
    <w:p w14:paraId="71C14A4D" w14:textId="77777777" w:rsidR="000A55AE" w:rsidRPr="00612B10" w:rsidRDefault="000A55AE" w:rsidP="000A55AE"/>
    <w:p w14:paraId="0CB09D15" w14:textId="34CF3427" w:rsidR="00A6350E" w:rsidRDefault="00612B10" w:rsidP="000A55AE">
      <w:r w:rsidRPr="00612B10">
        <w:t>Net cash provided by financing activities was</w:t>
      </w:r>
      <w:r w:rsidR="0024365D">
        <w:t xml:space="preserve"> </w:t>
      </w:r>
      <w:r w:rsidR="00D503C2">
        <w:t xml:space="preserve">$297,086 and </w:t>
      </w:r>
      <w:r w:rsidR="0024365D">
        <w:t>$</w:t>
      </w:r>
      <w:r w:rsidR="00CA7960">
        <w:t>237,917</w:t>
      </w:r>
      <w:r w:rsidRPr="00612B10">
        <w:t xml:space="preserve"> for t</w:t>
      </w:r>
      <w:r>
        <w:t>he three-month periods</w:t>
      </w:r>
      <w:r w:rsidRPr="00612B10">
        <w:t xml:space="preserve"> ended </w:t>
      </w:r>
      <w:r>
        <w:t>March 31, 20</w:t>
      </w:r>
      <w:r w:rsidR="00D503C2">
        <w:t>20</w:t>
      </w:r>
      <w:r>
        <w:t xml:space="preserve"> and 201</w:t>
      </w:r>
      <w:r w:rsidR="00D503C2">
        <w:t>9</w:t>
      </w:r>
      <w:r w:rsidRPr="00612B10">
        <w:t>, respectively</w:t>
      </w:r>
      <w:r>
        <w:t xml:space="preserve">. </w:t>
      </w:r>
      <w:r w:rsidR="007227E4">
        <w:t xml:space="preserve">Net cash provided by financing activities during the </w:t>
      </w:r>
      <w:r w:rsidR="00D503C2">
        <w:t>2020</w:t>
      </w:r>
      <w:r w:rsidR="007227E4">
        <w:t xml:space="preserve"> period relates to the sale by us of shares of our Series </w:t>
      </w:r>
      <w:r w:rsidR="00D503C2">
        <w:t>J</w:t>
      </w:r>
      <w:r w:rsidR="007227E4">
        <w:t xml:space="preserve"> convertible preferred stock </w:t>
      </w:r>
      <w:r w:rsidR="00D503C2">
        <w:t xml:space="preserve">for net proceeds of </w:t>
      </w:r>
      <w:r w:rsidR="007227E4">
        <w:t>$</w:t>
      </w:r>
      <w:r w:rsidR="00D503C2">
        <w:t>300</w:t>
      </w:r>
      <w:r w:rsidR="007227E4">
        <w:t xml:space="preserve">,000 and </w:t>
      </w:r>
      <w:r w:rsidR="00D503C2">
        <w:t xml:space="preserve">$2,914 in principal repayments toward </w:t>
      </w:r>
      <w:r w:rsidR="007227E4">
        <w:t xml:space="preserve">a five-year </w:t>
      </w:r>
      <w:r w:rsidR="007227E4" w:rsidRPr="007A4B96">
        <w:rPr>
          <w:rFonts w:ascii="CG Times (WN)" w:hAnsi="CG Times (WN)"/>
        </w:rPr>
        <w:t xml:space="preserve">Senior </w:t>
      </w:r>
      <w:r w:rsidR="007227E4">
        <w:rPr>
          <w:rFonts w:ascii="CG Times (WN)" w:hAnsi="CG Times (WN)"/>
        </w:rPr>
        <w:t>Promissory Note (the “GRA Note”)</w:t>
      </w:r>
      <w:r w:rsidR="007227E4" w:rsidRPr="007A4B96">
        <w:rPr>
          <w:rFonts w:ascii="CG Times (WN)" w:hAnsi="CG Times (WN)"/>
        </w:rPr>
        <w:t xml:space="preserve"> </w:t>
      </w:r>
      <w:r w:rsidR="007227E4">
        <w:rPr>
          <w:rFonts w:ascii="CG Times (WN)" w:hAnsi="CG Times (WN)"/>
        </w:rPr>
        <w:t>to the</w:t>
      </w:r>
      <w:r w:rsidR="007227E4" w:rsidRPr="007A4B96">
        <w:rPr>
          <w:rFonts w:ascii="CG Times (WN)" w:hAnsi="CG Times (WN)"/>
        </w:rPr>
        <w:t xml:space="preserve"> Georgia Research Alliance, Inc</w:t>
      </w:r>
      <w:r w:rsidR="007227E4" w:rsidRPr="007A4B96">
        <w:t>.</w:t>
      </w:r>
      <w:r w:rsidR="007227E4">
        <w:t xml:space="preserve">  Net cash provided by financing activities during the 2019 period relates to the sale by us of shares of our Series G convertible preferred stock </w:t>
      </w:r>
      <w:r w:rsidR="003705E9">
        <w:t xml:space="preserve">for net proceeds of </w:t>
      </w:r>
      <w:r w:rsidR="007227E4">
        <w:t>$240,000</w:t>
      </w:r>
      <w:r w:rsidR="003705E9">
        <w:t xml:space="preserve"> </w:t>
      </w:r>
      <w:r w:rsidR="007227E4">
        <w:t xml:space="preserve">and $2,083 in </w:t>
      </w:r>
      <w:r w:rsidR="00A34115">
        <w:t xml:space="preserve">principal </w:t>
      </w:r>
      <w:r w:rsidR="007227E4">
        <w:t>repayments toward the GRA Note.</w:t>
      </w:r>
    </w:p>
    <w:p w14:paraId="2A9A9664" w14:textId="57A3AFCE" w:rsidR="00074805" w:rsidRDefault="00074805" w:rsidP="00074805">
      <w:r>
        <w:rPr>
          <w:iCs/>
        </w:rPr>
        <w:lastRenderedPageBreak/>
        <w:t xml:space="preserve">On April 17, 2020, we received a $170,200 bank loan backed by the United States Small Business Administration pursuant to the Paycheck Protection Program (PPP) provisions of the CARES Act. </w:t>
      </w:r>
      <w:r>
        <w:t>The loan bears an annual interest rate of one percent and is due April 17, 2022. No payments of principal or interest will be due until 180 days after the disbursement date.  Commencing November 17, 2020, monthly payments of $9,578.16 will be due. Amounts due may be prepaid without penalty. We may apply to the lender to have the principal amount reduced upon providing qualifying information regarding eligible expenses to the lender.</w:t>
      </w:r>
    </w:p>
    <w:p w14:paraId="547F0790" w14:textId="28520D02" w:rsidR="00074805" w:rsidRDefault="00074805" w:rsidP="000A55AE"/>
    <w:p w14:paraId="26C14AD7" w14:textId="7548139C" w:rsidR="001B694B" w:rsidRDefault="00A34115" w:rsidP="00DE7280">
      <w:r w:rsidRPr="00BC4931">
        <w:t xml:space="preserve">As of </w:t>
      </w:r>
      <w:r>
        <w:t>March</w:t>
      </w:r>
      <w:r w:rsidRPr="00BC4931">
        <w:t xml:space="preserve"> 3</w:t>
      </w:r>
      <w:r>
        <w:t>1, 2020</w:t>
      </w:r>
      <w:r w:rsidRPr="00BC4931">
        <w:t>, we had an accumulated deficit of $</w:t>
      </w:r>
      <w:r w:rsidR="000504C2">
        <w:t>43.4</w:t>
      </w:r>
      <w:r w:rsidRPr="00BC4931">
        <w:t xml:space="preserve"> million.</w:t>
      </w:r>
      <w:r w:rsidRPr="00DD1724">
        <w:t xml:space="preserve"> </w:t>
      </w:r>
      <w:r>
        <w:t>W</w:t>
      </w:r>
      <w:r w:rsidRPr="00BC4931">
        <w:t xml:space="preserve">e expect for the foreseeable future </w:t>
      </w:r>
      <w:r>
        <w:t xml:space="preserve">we will continue to operate at a loss. </w:t>
      </w:r>
      <w:r w:rsidRPr="00090ABD">
        <w:t xml:space="preserve">The amount of the accumulated deficit will continue to increase, as it will be expensive to continue </w:t>
      </w:r>
      <w:r>
        <w:t xml:space="preserve">our </w:t>
      </w:r>
      <w:r w:rsidRPr="00090ABD">
        <w:t>res</w:t>
      </w:r>
      <w:r>
        <w:t>earch and development efforts</w:t>
      </w:r>
      <w:r w:rsidRPr="00090ABD">
        <w:t xml:space="preserve">. </w:t>
      </w:r>
      <w:r w:rsidRPr="009E6652">
        <w:t>We will continue to require substantial funds</w:t>
      </w:r>
      <w:r>
        <w:t xml:space="preserve"> to continue our activities and cannot predict the outcome of our efforts.</w:t>
      </w:r>
      <w:r w:rsidRPr="00640BA0">
        <w:t xml:space="preserve"> </w:t>
      </w:r>
      <w:r>
        <w:t xml:space="preserve">We have received a “going concern” opinion from our independent registered public accountants reflecting substantial doubt about our ability to continue as a going concern. </w:t>
      </w:r>
      <w:r w:rsidRPr="009E6652">
        <w:t xml:space="preserve">We believe that our existing cash resources, combined with </w:t>
      </w:r>
      <w:r>
        <w:t>funding</w:t>
      </w:r>
      <w:r w:rsidRPr="009E6652">
        <w:t xml:space="preserve"> from</w:t>
      </w:r>
      <w:r>
        <w:t xml:space="preserve"> existing</w:t>
      </w:r>
      <w:r w:rsidRPr="009E6652">
        <w:t xml:space="preserve"> </w:t>
      </w:r>
      <w:r w:rsidRPr="00131E66">
        <w:t xml:space="preserve">government grants and </w:t>
      </w:r>
      <w:r w:rsidR="000504C2">
        <w:t>collaborative arrangements</w:t>
      </w:r>
      <w:r w:rsidRPr="00131E66">
        <w:t xml:space="preserve">, will be sufficient to fund our planned operations </w:t>
      </w:r>
      <w:r w:rsidRPr="00074805">
        <w:t>into the third quarter of 2020. We will require additional funds to continue our planned operations beyond that date. We are currently seeking sources</w:t>
      </w:r>
      <w:r w:rsidRPr="00131E66">
        <w:t xml:space="preserve"> of capital through</w:t>
      </w:r>
      <w:r w:rsidRPr="00CF5AEA">
        <w:t xml:space="preserve"> additional government grant programs and clinical trial support, and we </w:t>
      </w:r>
      <w:r>
        <w:t>plan to</w:t>
      </w:r>
      <w:r w:rsidRPr="00CF5AEA">
        <w:t xml:space="preserve"> conduct </w:t>
      </w:r>
      <w:r>
        <w:t xml:space="preserve">at least one </w:t>
      </w:r>
      <w:r w:rsidRPr="00CF5AEA">
        <w:t xml:space="preserve">additional offering of our equity securities. </w:t>
      </w:r>
      <w:r>
        <w:t>A</w:t>
      </w:r>
      <w:r w:rsidRPr="00CF5AEA">
        <w:t>dditional funding may not be available on favorable terms or at all and if we fail to obtain additional capital when needed, we may be required to delay, scale back, or eliminate some or</w:t>
      </w:r>
      <w:r w:rsidRPr="009E6652">
        <w:t xml:space="preserve"> all of our research and development programs as well as reduce our general and administrative expenses.</w:t>
      </w:r>
    </w:p>
    <w:p w14:paraId="6452FE9C" w14:textId="77777777" w:rsidR="00B275EC" w:rsidRDefault="00B275EC" w:rsidP="00DE7280"/>
    <w:p w14:paraId="1A1634F7" w14:textId="47D365D2" w:rsidR="00FE073F" w:rsidRDefault="00FE073F" w:rsidP="000A55AE">
      <w:pPr>
        <w:rPr>
          <w:i/>
        </w:rPr>
      </w:pPr>
      <w:r w:rsidRPr="006C115A">
        <w:rPr>
          <w:i/>
        </w:rPr>
        <w:t>Off-Balance Sheet Arrangements</w:t>
      </w:r>
    </w:p>
    <w:p w14:paraId="13F61351" w14:textId="77777777" w:rsidR="000A55AE" w:rsidRPr="006C115A" w:rsidRDefault="000A55AE" w:rsidP="000A55AE">
      <w:pPr>
        <w:rPr>
          <w:i/>
        </w:rPr>
      </w:pPr>
    </w:p>
    <w:p w14:paraId="1E04909D" w14:textId="624FBEB9" w:rsidR="00D745F2" w:rsidRDefault="00D745F2" w:rsidP="000A55AE">
      <w:pPr>
        <w:rPr>
          <w:color w:val="000000"/>
        </w:rPr>
      </w:pPr>
      <w:r>
        <w:rPr>
          <w:color w:val="000000"/>
        </w:rPr>
        <w:t>We have no off-balance sheet arrangements that are likely or reasonably likely to have a material effect on our financial condition or results of operations.</w:t>
      </w:r>
    </w:p>
    <w:p w14:paraId="056008B7" w14:textId="503B08B4" w:rsidR="00AC34FC" w:rsidRDefault="00AC34FC" w:rsidP="000A55AE"/>
    <w:p w14:paraId="6DC10263" w14:textId="16CF8582" w:rsidR="00C212D3" w:rsidRPr="001C6303" w:rsidRDefault="009E4E85" w:rsidP="000A55AE">
      <w:pPr>
        <w:pStyle w:val="BodyTitle"/>
        <w:spacing w:after="0"/>
        <w:rPr>
          <w:b/>
          <w:u w:val="none"/>
        </w:rPr>
      </w:pPr>
      <w:r w:rsidRPr="001C6303">
        <w:rPr>
          <w:b/>
          <w:u w:val="none"/>
        </w:rPr>
        <w:t>Results of Operations</w:t>
      </w:r>
    </w:p>
    <w:p w14:paraId="176DFFB3" w14:textId="77777777" w:rsidR="000A55AE" w:rsidRDefault="000A55AE" w:rsidP="000A55AE">
      <w:pPr>
        <w:pStyle w:val="BodyText"/>
        <w:spacing w:after="0"/>
        <w:rPr>
          <w:rStyle w:val="BodySubtitleChar"/>
        </w:rPr>
      </w:pPr>
    </w:p>
    <w:p w14:paraId="208573EC" w14:textId="14B8FA7B" w:rsidR="004A3014" w:rsidRPr="004A3014" w:rsidRDefault="0007631A" w:rsidP="000A55AE">
      <w:pPr>
        <w:pStyle w:val="BodyText"/>
        <w:spacing w:after="0"/>
      </w:pPr>
      <w:r w:rsidRPr="004A3014">
        <w:rPr>
          <w:rStyle w:val="BodySubtitleChar"/>
        </w:rPr>
        <w:t>Net Loss</w:t>
      </w:r>
    </w:p>
    <w:p w14:paraId="365E393A" w14:textId="77777777" w:rsidR="000A55AE" w:rsidRDefault="000A55AE" w:rsidP="000A55AE">
      <w:pPr>
        <w:pStyle w:val="BodyText"/>
        <w:spacing w:after="0"/>
      </w:pPr>
    </w:p>
    <w:p w14:paraId="3ABCE433" w14:textId="546B8555" w:rsidR="007E26A4" w:rsidRPr="00EA0483" w:rsidRDefault="00202BAB" w:rsidP="000A55AE">
      <w:pPr>
        <w:pStyle w:val="BodyText"/>
        <w:spacing w:after="0"/>
        <w:rPr>
          <w:rStyle w:val="BodySubtitleChar"/>
          <w:i w:val="0"/>
          <w:iCs w:val="0"/>
        </w:rPr>
      </w:pPr>
      <w:r>
        <w:t>W</w:t>
      </w:r>
      <w:r w:rsidRPr="001C6303">
        <w:t>e recorded a net loss of $</w:t>
      </w:r>
      <w:r w:rsidR="000504C2">
        <w:t>595,694</w:t>
      </w:r>
      <w:r w:rsidRPr="001C6303">
        <w:t xml:space="preserve"> for the three</w:t>
      </w:r>
      <w:r>
        <w:t>-</w:t>
      </w:r>
      <w:r w:rsidRPr="001C6303">
        <w:t>month</w:t>
      </w:r>
      <w:r>
        <w:t xml:space="preserve"> period</w:t>
      </w:r>
      <w:r w:rsidRPr="001C6303">
        <w:t xml:space="preserve"> ended </w:t>
      </w:r>
      <w:r w:rsidR="00C500F1">
        <w:t>March 31, 20</w:t>
      </w:r>
      <w:r w:rsidR="00B06C0B">
        <w:t>20</w:t>
      </w:r>
      <w:r>
        <w:t>, as compared to $</w:t>
      </w:r>
      <w:r w:rsidR="00B06C0B">
        <w:t>701,454</w:t>
      </w:r>
      <w:r w:rsidRPr="001C6303">
        <w:t xml:space="preserve"> for the three</w:t>
      </w:r>
      <w:r>
        <w:t>-</w:t>
      </w:r>
      <w:r w:rsidRPr="001C6303">
        <w:t>month</w:t>
      </w:r>
      <w:r>
        <w:t xml:space="preserve"> period</w:t>
      </w:r>
      <w:r w:rsidRPr="001C6303">
        <w:t xml:space="preserve"> ended </w:t>
      </w:r>
      <w:r w:rsidR="00C500F1">
        <w:t>March 31, 201</w:t>
      </w:r>
      <w:r w:rsidR="00B06C0B">
        <w:t>9</w:t>
      </w:r>
      <w:r w:rsidRPr="001C6303">
        <w:t>.</w:t>
      </w:r>
      <w:r w:rsidRPr="00884B35">
        <w:t xml:space="preserve"> </w:t>
      </w:r>
      <w:r w:rsidR="007E26A4" w:rsidRPr="001C6303">
        <w:t xml:space="preserve">Our net losses typically fluctuate due to the timing of activities and related costs associated with our vaccine research and development activities and our general and administrative costs, as </w:t>
      </w:r>
      <w:r w:rsidR="00C500F1">
        <w:t xml:space="preserve">described </w:t>
      </w:r>
      <w:r w:rsidR="007E26A4" w:rsidRPr="001C6303">
        <w:t>below.</w:t>
      </w:r>
    </w:p>
    <w:p w14:paraId="6CB991DD" w14:textId="77777777" w:rsidR="000A55AE" w:rsidRDefault="000A55AE" w:rsidP="000A55AE">
      <w:pPr>
        <w:pStyle w:val="BodyText"/>
        <w:spacing w:after="0"/>
        <w:rPr>
          <w:rStyle w:val="BodySubtitleChar"/>
        </w:rPr>
      </w:pPr>
    </w:p>
    <w:p w14:paraId="7B8B4C98" w14:textId="57C647B3" w:rsidR="004A3014" w:rsidRPr="008C5B79" w:rsidRDefault="0007631A" w:rsidP="000A55AE">
      <w:pPr>
        <w:pStyle w:val="BodyText"/>
        <w:spacing w:after="0"/>
      </w:pPr>
      <w:r w:rsidRPr="004A3014">
        <w:rPr>
          <w:rStyle w:val="BodySubtitleChar"/>
        </w:rPr>
        <w:t>Grant</w:t>
      </w:r>
      <w:r w:rsidR="009126EB">
        <w:rPr>
          <w:rStyle w:val="BodySubtitleChar"/>
        </w:rPr>
        <w:t xml:space="preserve"> and Collaboration</w:t>
      </w:r>
      <w:r w:rsidRPr="004A3014">
        <w:rPr>
          <w:rStyle w:val="BodySubtitleChar"/>
        </w:rPr>
        <w:t xml:space="preserve"> Revenue</w:t>
      </w:r>
      <w:r w:rsidR="009F36C6">
        <w:rPr>
          <w:rStyle w:val="BodySubtitleChar"/>
        </w:rPr>
        <w:t>s</w:t>
      </w:r>
    </w:p>
    <w:p w14:paraId="5F061850" w14:textId="77777777" w:rsidR="000A55AE" w:rsidRDefault="000A55AE" w:rsidP="000A55AE">
      <w:pPr>
        <w:pStyle w:val="BodyText"/>
        <w:spacing w:after="0"/>
      </w:pPr>
    </w:p>
    <w:p w14:paraId="11ABF031" w14:textId="3D9C447B" w:rsidR="00540E25" w:rsidRDefault="00202BAB" w:rsidP="000A55AE">
      <w:pPr>
        <w:pStyle w:val="BodyText"/>
        <w:spacing w:after="0"/>
      </w:pPr>
      <w:r w:rsidRPr="00184417">
        <w:t>During the three</w:t>
      </w:r>
      <w:r>
        <w:t>-month</w:t>
      </w:r>
      <w:r w:rsidRPr="00184417">
        <w:t xml:space="preserve"> </w:t>
      </w:r>
      <w:r w:rsidR="00C500F1">
        <w:t>period</w:t>
      </w:r>
      <w:r>
        <w:t xml:space="preserve"> ended </w:t>
      </w:r>
      <w:r w:rsidR="00C500F1">
        <w:t>March 31, 20</w:t>
      </w:r>
      <w:r w:rsidR="00B06C0B">
        <w:t>20</w:t>
      </w:r>
      <w:r>
        <w:t xml:space="preserve">, we </w:t>
      </w:r>
      <w:r w:rsidRPr="00184417">
        <w:t>recorded</w:t>
      </w:r>
      <w:r w:rsidR="00F872A9">
        <w:t xml:space="preserve"> </w:t>
      </w:r>
      <w:r w:rsidR="00F872A9" w:rsidRPr="00E16565">
        <w:t>grant</w:t>
      </w:r>
      <w:r w:rsidR="009312E9" w:rsidRPr="00E16565">
        <w:t xml:space="preserve"> </w:t>
      </w:r>
      <w:r w:rsidR="009126EB" w:rsidRPr="00E16565">
        <w:t>and collaboration</w:t>
      </w:r>
      <w:r w:rsidR="00E16565">
        <w:t xml:space="preserve"> </w:t>
      </w:r>
      <w:r w:rsidR="00F872A9">
        <w:t>revenue</w:t>
      </w:r>
      <w:r w:rsidR="00C500F1">
        <w:t>s</w:t>
      </w:r>
      <w:r w:rsidR="00F872A9">
        <w:t xml:space="preserve"> of </w:t>
      </w:r>
      <w:r w:rsidR="009312E9">
        <w:t>$</w:t>
      </w:r>
      <w:r w:rsidR="00B06C0B">
        <w:t>715,</w:t>
      </w:r>
      <w:r w:rsidR="004A5874">
        <w:t>9</w:t>
      </w:r>
      <w:r w:rsidR="00B06C0B">
        <w:t>77</w:t>
      </w:r>
      <w:r>
        <w:t>, as compared to $</w:t>
      </w:r>
      <w:r w:rsidR="00B06C0B">
        <w:t>364,232</w:t>
      </w:r>
      <w:r w:rsidR="00C500F1">
        <w:t xml:space="preserve"> </w:t>
      </w:r>
      <w:r>
        <w:t>durin</w:t>
      </w:r>
      <w:r w:rsidR="00C73A89">
        <w:t>g the comparable period</w:t>
      </w:r>
      <w:r w:rsidR="00C500F1">
        <w:t xml:space="preserve"> of 201</w:t>
      </w:r>
      <w:r w:rsidR="00B06C0B">
        <w:t>9</w:t>
      </w:r>
      <w:r>
        <w:t xml:space="preserve">. </w:t>
      </w:r>
    </w:p>
    <w:p w14:paraId="4C3678B2" w14:textId="47ADD1D8" w:rsidR="00540E25" w:rsidRDefault="00540E25" w:rsidP="000A55AE">
      <w:pPr>
        <w:pStyle w:val="BodyText"/>
        <w:spacing w:after="0"/>
      </w:pPr>
    </w:p>
    <w:p w14:paraId="02B827B2" w14:textId="3DA86225" w:rsidR="00540E25" w:rsidRPr="00540E25" w:rsidRDefault="00540E25" w:rsidP="00540E25">
      <w:r>
        <w:rPr>
          <w:u w:val="single"/>
        </w:rPr>
        <w:t xml:space="preserve">Grant </w:t>
      </w:r>
      <w:r w:rsidRPr="00540E25">
        <w:rPr>
          <w:u w:val="single"/>
        </w:rPr>
        <w:t>Revenues</w:t>
      </w:r>
      <w:r w:rsidRPr="00540E25">
        <w:t xml:space="preserve"> – Our grant revenues relate to grants and contracts from agencies of the U.S. government in support of our vaccine development activities. We record revenue associated with these grants as the related costs and expenses are incurred. The difference in our grant revenues from period to period is dependent upon our expenditures for activities supported by the grants and fluctuates based on the timing of the expenditures. Additional detail concerning our grant revenues and the remaining funds available for use as of </w:t>
      </w:r>
      <w:r>
        <w:t>March</w:t>
      </w:r>
      <w:r w:rsidRPr="00540E25">
        <w:t xml:space="preserve"> 31, 20</w:t>
      </w:r>
      <w:r w:rsidR="00B06C0B">
        <w:t>20</w:t>
      </w:r>
      <w:r w:rsidRPr="00540E25">
        <w:t xml:space="preserve"> is presented in the table below.</w:t>
      </w:r>
    </w:p>
    <w:p w14:paraId="72582EBF" w14:textId="3C064914" w:rsidR="00540E25" w:rsidRDefault="00540E25" w:rsidP="000A55AE">
      <w:pPr>
        <w:pStyle w:val="BodyText"/>
        <w:spacing w:after="0"/>
      </w:pPr>
    </w:p>
    <w:p w14:paraId="651E0648" w14:textId="26A8E4EF" w:rsidR="00DE27BF" w:rsidRDefault="00DE27BF" w:rsidP="000A55AE"/>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1717"/>
        <w:gridCol w:w="1718"/>
        <w:gridCol w:w="1718"/>
      </w:tblGrid>
      <w:tr w:rsidR="00DE27BF" w:rsidRPr="00DE27BF" w14:paraId="02ED06D9" w14:textId="77777777" w:rsidTr="00DE27BF">
        <w:tc>
          <w:tcPr>
            <w:tcW w:w="4117" w:type="dxa"/>
          </w:tcPr>
          <w:p w14:paraId="6B96491D" w14:textId="77777777" w:rsidR="00DE27BF" w:rsidRPr="00DE27BF" w:rsidRDefault="00DE27BF" w:rsidP="000A55AE"/>
        </w:tc>
        <w:tc>
          <w:tcPr>
            <w:tcW w:w="3435" w:type="dxa"/>
            <w:gridSpan w:val="2"/>
            <w:tcBorders>
              <w:bottom w:val="single" w:sz="4" w:space="0" w:color="auto"/>
            </w:tcBorders>
          </w:tcPr>
          <w:p w14:paraId="18F69840" w14:textId="77777777" w:rsidR="00DE27BF" w:rsidRDefault="00DE27BF" w:rsidP="000A55AE">
            <w:pPr>
              <w:jc w:val="center"/>
            </w:pPr>
            <w:r>
              <w:t>Grant Revenues Recorded During</w:t>
            </w:r>
          </w:p>
          <w:p w14:paraId="6423132B" w14:textId="084FB920" w:rsidR="00DE27BF" w:rsidRPr="00DE27BF" w:rsidRDefault="00DE27BF" w:rsidP="000A55AE">
            <w:pPr>
              <w:jc w:val="center"/>
            </w:pPr>
            <w:r>
              <w:t>Three-Month Periods Ended March 31,</w:t>
            </w:r>
          </w:p>
        </w:tc>
        <w:tc>
          <w:tcPr>
            <w:tcW w:w="1718" w:type="dxa"/>
            <w:vMerge w:val="restart"/>
          </w:tcPr>
          <w:p w14:paraId="30A34724" w14:textId="0124D59B" w:rsidR="00DE27BF" w:rsidRPr="00DE27BF" w:rsidRDefault="00C07381" w:rsidP="000A55AE">
            <w:pPr>
              <w:jc w:val="center"/>
            </w:pPr>
            <w:r>
              <w:t>Approved</w:t>
            </w:r>
            <w:r w:rsidR="00DE27BF">
              <w:t xml:space="preserve"> Funds Available at March 31, 20</w:t>
            </w:r>
            <w:r w:rsidR="00B06C0B">
              <w:t>20</w:t>
            </w:r>
          </w:p>
        </w:tc>
      </w:tr>
      <w:tr w:rsidR="00DE27BF" w:rsidRPr="00DE27BF" w14:paraId="54A42E68" w14:textId="77777777" w:rsidTr="00DE27BF">
        <w:tc>
          <w:tcPr>
            <w:tcW w:w="4117" w:type="dxa"/>
            <w:tcBorders>
              <w:bottom w:val="single" w:sz="4" w:space="0" w:color="auto"/>
            </w:tcBorders>
          </w:tcPr>
          <w:p w14:paraId="7BC3D5F1" w14:textId="77777777" w:rsidR="00DE27BF" w:rsidRPr="00DE27BF" w:rsidRDefault="00DE27BF" w:rsidP="000A55AE">
            <w:r w:rsidRPr="00DE27BF">
              <w:t>Grant/Contract No.</w:t>
            </w:r>
          </w:p>
        </w:tc>
        <w:tc>
          <w:tcPr>
            <w:tcW w:w="1717" w:type="dxa"/>
            <w:tcBorders>
              <w:top w:val="single" w:sz="4" w:space="0" w:color="auto"/>
              <w:bottom w:val="single" w:sz="4" w:space="0" w:color="auto"/>
            </w:tcBorders>
          </w:tcPr>
          <w:p w14:paraId="22F36FEB" w14:textId="20BFDAEB" w:rsidR="00DE27BF" w:rsidRPr="00DE27BF" w:rsidRDefault="00B06C0B" w:rsidP="00B06C0B">
            <w:pPr>
              <w:tabs>
                <w:tab w:val="center" w:pos="640"/>
              </w:tabs>
            </w:pPr>
            <w:r>
              <w:tab/>
            </w:r>
            <w:r w:rsidR="00DE27BF" w:rsidRPr="00DE27BF">
              <w:t>20</w:t>
            </w:r>
            <w:r>
              <w:t>20</w:t>
            </w:r>
          </w:p>
        </w:tc>
        <w:tc>
          <w:tcPr>
            <w:tcW w:w="1718" w:type="dxa"/>
            <w:tcBorders>
              <w:top w:val="single" w:sz="4" w:space="0" w:color="auto"/>
              <w:bottom w:val="single" w:sz="4" w:space="0" w:color="auto"/>
            </w:tcBorders>
          </w:tcPr>
          <w:p w14:paraId="182388EE" w14:textId="658A5200" w:rsidR="00DE27BF" w:rsidRPr="00DE27BF" w:rsidRDefault="00B06C0B" w:rsidP="00B06C0B">
            <w:pPr>
              <w:tabs>
                <w:tab w:val="center" w:pos="532"/>
              </w:tabs>
            </w:pPr>
            <w:r>
              <w:tab/>
            </w:r>
            <w:r w:rsidR="00DE27BF" w:rsidRPr="00DE27BF">
              <w:t>201</w:t>
            </w:r>
            <w:r>
              <w:t>9</w:t>
            </w:r>
          </w:p>
        </w:tc>
        <w:tc>
          <w:tcPr>
            <w:tcW w:w="1718" w:type="dxa"/>
            <w:vMerge/>
            <w:tcBorders>
              <w:bottom w:val="single" w:sz="4" w:space="0" w:color="auto"/>
            </w:tcBorders>
          </w:tcPr>
          <w:p w14:paraId="2648DF1D" w14:textId="6365F30B" w:rsidR="00DE27BF" w:rsidRPr="00DE27BF" w:rsidRDefault="00DE27BF" w:rsidP="000A55AE"/>
        </w:tc>
      </w:tr>
      <w:tr w:rsidR="00DE27BF" w:rsidRPr="00DE27BF" w14:paraId="42C64B52" w14:textId="77777777" w:rsidTr="00DE2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7" w:type="dxa"/>
            <w:tcBorders>
              <w:top w:val="nil"/>
              <w:left w:val="nil"/>
              <w:bottom w:val="nil"/>
              <w:right w:val="nil"/>
            </w:tcBorders>
          </w:tcPr>
          <w:p w14:paraId="53756DD2" w14:textId="6D0B9E1B" w:rsidR="00DE27BF" w:rsidRPr="00DE27BF" w:rsidRDefault="00540E25" w:rsidP="000A55AE">
            <w:r>
              <w:t>Lassa Fever – U.S. Army Grant</w:t>
            </w:r>
          </w:p>
        </w:tc>
        <w:tc>
          <w:tcPr>
            <w:tcW w:w="1717" w:type="dxa"/>
            <w:tcBorders>
              <w:top w:val="nil"/>
              <w:left w:val="nil"/>
              <w:bottom w:val="nil"/>
              <w:right w:val="nil"/>
            </w:tcBorders>
          </w:tcPr>
          <w:p w14:paraId="5B02F877" w14:textId="6C9206DA" w:rsidR="00DE27BF" w:rsidRPr="00DE27BF" w:rsidRDefault="00581EE6" w:rsidP="000A55AE">
            <w:pPr>
              <w:tabs>
                <w:tab w:val="right" w:pos="969"/>
              </w:tabs>
            </w:pPr>
            <w:r>
              <w:t>$</w:t>
            </w:r>
            <w:r w:rsidR="00DE27BF">
              <w:tab/>
            </w:r>
            <w:r w:rsidR="00B06C0B">
              <w:t>654,021</w:t>
            </w:r>
          </w:p>
        </w:tc>
        <w:tc>
          <w:tcPr>
            <w:tcW w:w="1718" w:type="dxa"/>
            <w:tcBorders>
              <w:top w:val="nil"/>
              <w:left w:val="nil"/>
              <w:bottom w:val="nil"/>
              <w:right w:val="nil"/>
            </w:tcBorders>
          </w:tcPr>
          <w:p w14:paraId="324B2753" w14:textId="6B20038A" w:rsidR="00DE27BF" w:rsidRPr="00DE27BF" w:rsidRDefault="00581EE6" w:rsidP="000A55AE">
            <w:pPr>
              <w:tabs>
                <w:tab w:val="right" w:pos="989"/>
              </w:tabs>
            </w:pPr>
            <w:r>
              <w:t>$</w:t>
            </w:r>
            <w:r w:rsidR="00DE27BF" w:rsidRPr="00DE27BF">
              <w:tab/>
            </w:r>
            <w:r w:rsidR="00B06C0B">
              <w:t>142,685</w:t>
            </w:r>
          </w:p>
        </w:tc>
        <w:tc>
          <w:tcPr>
            <w:tcW w:w="1718" w:type="dxa"/>
            <w:tcBorders>
              <w:top w:val="nil"/>
              <w:left w:val="nil"/>
              <w:bottom w:val="nil"/>
              <w:right w:val="nil"/>
            </w:tcBorders>
          </w:tcPr>
          <w:p w14:paraId="08305F57" w14:textId="1E485460" w:rsidR="00DE27BF" w:rsidRPr="00DE27BF" w:rsidRDefault="00581EE6" w:rsidP="000A55AE">
            <w:pPr>
              <w:tabs>
                <w:tab w:val="right" w:pos="1246"/>
              </w:tabs>
            </w:pPr>
            <w:r>
              <w:t>$</w:t>
            </w:r>
            <w:r w:rsidR="00DE27BF">
              <w:tab/>
            </w:r>
            <w:r w:rsidR="00B06C0B">
              <w:t>606,944</w:t>
            </w:r>
          </w:p>
        </w:tc>
      </w:tr>
      <w:tr w:rsidR="00540E25" w:rsidRPr="00DE27BF" w14:paraId="4BD9BE24" w14:textId="77777777" w:rsidTr="00DE2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7" w:type="dxa"/>
            <w:tcBorders>
              <w:top w:val="nil"/>
              <w:left w:val="nil"/>
              <w:bottom w:val="nil"/>
              <w:right w:val="nil"/>
            </w:tcBorders>
          </w:tcPr>
          <w:p w14:paraId="08676336" w14:textId="2E40C547" w:rsidR="00540E25" w:rsidRPr="00DE27BF" w:rsidRDefault="00540E25" w:rsidP="000A55AE">
            <w:r>
              <w:t>Lassa Fever – NIH SBIR Grant</w:t>
            </w:r>
          </w:p>
        </w:tc>
        <w:tc>
          <w:tcPr>
            <w:tcW w:w="1717" w:type="dxa"/>
            <w:tcBorders>
              <w:top w:val="nil"/>
              <w:left w:val="nil"/>
              <w:bottom w:val="nil"/>
              <w:right w:val="nil"/>
            </w:tcBorders>
          </w:tcPr>
          <w:p w14:paraId="0155D295" w14:textId="5D424C9B" w:rsidR="00540E25" w:rsidRDefault="00540E25" w:rsidP="000A55AE">
            <w:pPr>
              <w:tabs>
                <w:tab w:val="right" w:pos="969"/>
              </w:tabs>
            </w:pPr>
            <w:r>
              <w:tab/>
            </w:r>
            <w:r w:rsidR="00B06C0B">
              <w:t>-</w:t>
            </w:r>
          </w:p>
        </w:tc>
        <w:tc>
          <w:tcPr>
            <w:tcW w:w="1718" w:type="dxa"/>
            <w:tcBorders>
              <w:top w:val="nil"/>
              <w:left w:val="nil"/>
              <w:bottom w:val="nil"/>
              <w:right w:val="nil"/>
            </w:tcBorders>
          </w:tcPr>
          <w:p w14:paraId="547C47F0" w14:textId="48C04973" w:rsidR="00540E25" w:rsidRDefault="00540E25" w:rsidP="000A55AE">
            <w:pPr>
              <w:tabs>
                <w:tab w:val="right" w:pos="989"/>
              </w:tabs>
            </w:pPr>
            <w:r>
              <w:tab/>
            </w:r>
            <w:r w:rsidR="00B06C0B">
              <w:t>63,667</w:t>
            </w:r>
          </w:p>
        </w:tc>
        <w:tc>
          <w:tcPr>
            <w:tcW w:w="1718" w:type="dxa"/>
            <w:tcBorders>
              <w:top w:val="nil"/>
              <w:left w:val="nil"/>
              <w:bottom w:val="nil"/>
              <w:right w:val="nil"/>
            </w:tcBorders>
          </w:tcPr>
          <w:p w14:paraId="3EE0A9AA" w14:textId="27F30F40" w:rsidR="00540E25" w:rsidRDefault="00540E25" w:rsidP="000A55AE">
            <w:pPr>
              <w:tabs>
                <w:tab w:val="right" w:pos="1246"/>
              </w:tabs>
            </w:pPr>
            <w:r>
              <w:tab/>
            </w:r>
            <w:r w:rsidR="00B06C0B">
              <w:t>-</w:t>
            </w:r>
          </w:p>
        </w:tc>
      </w:tr>
      <w:tr w:rsidR="00540E25" w:rsidRPr="00DE27BF" w14:paraId="68BC7AE6" w14:textId="77777777" w:rsidTr="00DE2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7" w:type="dxa"/>
            <w:tcBorders>
              <w:top w:val="nil"/>
              <w:left w:val="nil"/>
              <w:bottom w:val="nil"/>
              <w:right w:val="nil"/>
            </w:tcBorders>
          </w:tcPr>
          <w:p w14:paraId="50F322A2" w14:textId="07A9C80F" w:rsidR="00540E25" w:rsidRPr="00DE27BF" w:rsidRDefault="00540E25" w:rsidP="000A55AE">
            <w:r>
              <w:t>HIV – NIH SBIR Grant</w:t>
            </w:r>
          </w:p>
        </w:tc>
        <w:tc>
          <w:tcPr>
            <w:tcW w:w="1717" w:type="dxa"/>
            <w:tcBorders>
              <w:top w:val="nil"/>
              <w:left w:val="nil"/>
              <w:bottom w:val="nil"/>
              <w:right w:val="nil"/>
            </w:tcBorders>
          </w:tcPr>
          <w:p w14:paraId="1A848149" w14:textId="07308D0B" w:rsidR="00540E25" w:rsidRDefault="00540E25" w:rsidP="000A55AE">
            <w:pPr>
              <w:tabs>
                <w:tab w:val="right" w:pos="969"/>
              </w:tabs>
            </w:pPr>
            <w:r>
              <w:tab/>
            </w:r>
            <w:r w:rsidR="005503FC">
              <w:t>-</w:t>
            </w:r>
          </w:p>
        </w:tc>
        <w:tc>
          <w:tcPr>
            <w:tcW w:w="1718" w:type="dxa"/>
            <w:tcBorders>
              <w:top w:val="nil"/>
              <w:left w:val="nil"/>
              <w:bottom w:val="nil"/>
              <w:right w:val="nil"/>
            </w:tcBorders>
          </w:tcPr>
          <w:p w14:paraId="68609E97" w14:textId="72164F96" w:rsidR="00540E25" w:rsidRDefault="00540E25" w:rsidP="000A55AE">
            <w:pPr>
              <w:tabs>
                <w:tab w:val="right" w:pos="989"/>
              </w:tabs>
            </w:pPr>
            <w:r>
              <w:tab/>
            </w:r>
            <w:r w:rsidR="00B06C0B">
              <w:t>-</w:t>
            </w:r>
          </w:p>
        </w:tc>
        <w:tc>
          <w:tcPr>
            <w:tcW w:w="1718" w:type="dxa"/>
            <w:tcBorders>
              <w:top w:val="nil"/>
              <w:left w:val="nil"/>
              <w:bottom w:val="nil"/>
              <w:right w:val="nil"/>
            </w:tcBorders>
          </w:tcPr>
          <w:p w14:paraId="5DB0F539" w14:textId="72748BB5" w:rsidR="00540E25" w:rsidRDefault="00540E25" w:rsidP="000A55AE">
            <w:pPr>
              <w:tabs>
                <w:tab w:val="right" w:pos="1246"/>
              </w:tabs>
            </w:pPr>
            <w:r>
              <w:tab/>
            </w:r>
            <w:r w:rsidR="005503FC">
              <w:t>-</w:t>
            </w:r>
          </w:p>
        </w:tc>
      </w:tr>
      <w:tr w:rsidR="0014178D" w:rsidRPr="00DE27BF" w14:paraId="2F897C53" w14:textId="77777777" w:rsidTr="00581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7" w:type="dxa"/>
            <w:tcBorders>
              <w:top w:val="nil"/>
              <w:left w:val="nil"/>
              <w:bottom w:val="nil"/>
              <w:right w:val="nil"/>
            </w:tcBorders>
          </w:tcPr>
          <w:p w14:paraId="51FDDD48" w14:textId="6C63F807" w:rsidR="0014178D" w:rsidRPr="00DE27BF" w:rsidRDefault="00540E25" w:rsidP="000A55AE">
            <w:r>
              <w:t>Zika – NIH SBIR Grant</w:t>
            </w:r>
          </w:p>
        </w:tc>
        <w:tc>
          <w:tcPr>
            <w:tcW w:w="1717" w:type="dxa"/>
            <w:tcBorders>
              <w:top w:val="nil"/>
              <w:left w:val="nil"/>
              <w:bottom w:val="nil"/>
              <w:right w:val="nil"/>
            </w:tcBorders>
          </w:tcPr>
          <w:p w14:paraId="131EFBAF" w14:textId="057C6ED6" w:rsidR="0014178D" w:rsidRDefault="00581EE6" w:rsidP="000A55AE">
            <w:pPr>
              <w:tabs>
                <w:tab w:val="right" w:pos="969"/>
              </w:tabs>
            </w:pPr>
            <w:r>
              <w:tab/>
            </w:r>
            <w:r w:rsidR="00B06C0B">
              <w:t>-</w:t>
            </w:r>
          </w:p>
        </w:tc>
        <w:tc>
          <w:tcPr>
            <w:tcW w:w="1718" w:type="dxa"/>
            <w:tcBorders>
              <w:top w:val="nil"/>
              <w:left w:val="nil"/>
              <w:bottom w:val="nil"/>
              <w:right w:val="nil"/>
            </w:tcBorders>
          </w:tcPr>
          <w:p w14:paraId="26AA2AF6" w14:textId="6B4D5474" w:rsidR="0014178D" w:rsidRPr="00DE27BF" w:rsidRDefault="00581EE6" w:rsidP="000A55AE">
            <w:pPr>
              <w:tabs>
                <w:tab w:val="right" w:pos="989"/>
              </w:tabs>
            </w:pPr>
            <w:r>
              <w:tab/>
            </w:r>
            <w:r w:rsidR="00B06C0B">
              <w:t>147,967</w:t>
            </w:r>
          </w:p>
        </w:tc>
        <w:tc>
          <w:tcPr>
            <w:tcW w:w="1718" w:type="dxa"/>
            <w:tcBorders>
              <w:top w:val="nil"/>
              <w:left w:val="nil"/>
              <w:bottom w:val="nil"/>
              <w:right w:val="nil"/>
            </w:tcBorders>
          </w:tcPr>
          <w:p w14:paraId="693EF6A8" w14:textId="6390765C" w:rsidR="0014178D" w:rsidRDefault="00581EE6" w:rsidP="000A55AE">
            <w:pPr>
              <w:tabs>
                <w:tab w:val="right" w:pos="1246"/>
              </w:tabs>
            </w:pPr>
            <w:r>
              <w:tab/>
            </w:r>
            <w:r w:rsidR="00B06C0B">
              <w:t>-</w:t>
            </w:r>
          </w:p>
        </w:tc>
      </w:tr>
      <w:tr w:rsidR="00DE27BF" w:rsidRPr="00DE27BF" w14:paraId="7290D620" w14:textId="77777777" w:rsidTr="00DE27BF">
        <w:tc>
          <w:tcPr>
            <w:tcW w:w="4117" w:type="dxa"/>
          </w:tcPr>
          <w:p w14:paraId="3A6F1747" w14:textId="77777777" w:rsidR="00DE27BF" w:rsidRPr="00DE27BF" w:rsidRDefault="00DE27BF" w:rsidP="000A55AE">
            <w:r w:rsidRPr="00DE27BF">
              <w:t>Total</w:t>
            </w:r>
          </w:p>
        </w:tc>
        <w:tc>
          <w:tcPr>
            <w:tcW w:w="1717" w:type="dxa"/>
            <w:tcBorders>
              <w:top w:val="single" w:sz="4" w:space="0" w:color="auto"/>
              <w:bottom w:val="double" w:sz="4" w:space="0" w:color="auto"/>
            </w:tcBorders>
          </w:tcPr>
          <w:p w14:paraId="52DCC227" w14:textId="70CA6CE1" w:rsidR="00DE27BF" w:rsidRPr="00DE27BF" w:rsidRDefault="00DE27BF" w:rsidP="000A55AE">
            <w:pPr>
              <w:tabs>
                <w:tab w:val="right" w:pos="969"/>
              </w:tabs>
            </w:pPr>
            <w:r w:rsidRPr="00DE27BF">
              <w:t>$</w:t>
            </w:r>
            <w:r w:rsidRPr="00DE27BF">
              <w:tab/>
            </w:r>
            <w:r w:rsidR="00B06C0B">
              <w:t>654,021</w:t>
            </w:r>
          </w:p>
        </w:tc>
        <w:tc>
          <w:tcPr>
            <w:tcW w:w="1718" w:type="dxa"/>
            <w:tcBorders>
              <w:top w:val="single" w:sz="4" w:space="0" w:color="auto"/>
              <w:bottom w:val="double" w:sz="4" w:space="0" w:color="auto"/>
            </w:tcBorders>
          </w:tcPr>
          <w:p w14:paraId="018426E0" w14:textId="41155313" w:rsidR="00DE27BF" w:rsidRPr="00DE27BF" w:rsidRDefault="00DE27BF" w:rsidP="000A55AE">
            <w:pPr>
              <w:tabs>
                <w:tab w:val="right" w:pos="989"/>
              </w:tabs>
            </w:pPr>
            <w:r w:rsidRPr="00DE27BF">
              <w:t>$</w:t>
            </w:r>
            <w:r w:rsidRPr="00DE27BF">
              <w:tab/>
            </w:r>
            <w:r w:rsidR="00B06C0B">
              <w:t>354,319</w:t>
            </w:r>
          </w:p>
        </w:tc>
        <w:tc>
          <w:tcPr>
            <w:tcW w:w="1718" w:type="dxa"/>
            <w:tcBorders>
              <w:top w:val="single" w:sz="4" w:space="0" w:color="auto"/>
              <w:bottom w:val="double" w:sz="4" w:space="0" w:color="auto"/>
            </w:tcBorders>
          </w:tcPr>
          <w:p w14:paraId="45D40A02" w14:textId="20260529" w:rsidR="00DE27BF" w:rsidRPr="00DE27BF" w:rsidRDefault="00DE27BF" w:rsidP="000A55AE">
            <w:pPr>
              <w:tabs>
                <w:tab w:val="right" w:pos="1246"/>
              </w:tabs>
            </w:pPr>
            <w:r w:rsidRPr="00DE27BF">
              <w:t>$</w:t>
            </w:r>
            <w:r w:rsidRPr="00DE27BF">
              <w:tab/>
            </w:r>
            <w:r w:rsidR="00B06C0B">
              <w:t>606,944</w:t>
            </w:r>
          </w:p>
        </w:tc>
      </w:tr>
    </w:tbl>
    <w:p w14:paraId="50C36B12" w14:textId="77C3A082" w:rsidR="00DE27BF" w:rsidRDefault="00DE27BF" w:rsidP="000A55AE"/>
    <w:p w14:paraId="5D7A6E6D" w14:textId="48AB23E4" w:rsidR="00FC1C96" w:rsidRPr="00FC1C96" w:rsidRDefault="00FC1C96" w:rsidP="00FC1C96">
      <w:r w:rsidRPr="00FC1C96">
        <w:rPr>
          <w:rFonts w:ascii="CG Times (WN)" w:hAnsi="CG Times (WN)"/>
          <w:u w:val="single"/>
        </w:rPr>
        <w:t>Collaboration Revenues</w:t>
      </w:r>
      <w:r w:rsidRPr="00FC1C96">
        <w:rPr>
          <w:rFonts w:ascii="CG Times (WN)" w:hAnsi="CG Times (WN)"/>
        </w:rPr>
        <w:t xml:space="preserve"> – In addition to the grant revenues above, during the </w:t>
      </w:r>
      <w:r>
        <w:rPr>
          <w:rFonts w:ascii="CG Times (WN)" w:hAnsi="CG Times (WN)"/>
        </w:rPr>
        <w:t>three-months ended</w:t>
      </w:r>
      <w:r w:rsidRPr="00FC1C96">
        <w:rPr>
          <w:rFonts w:ascii="CG Times (WN)" w:hAnsi="CG Times (WN)"/>
        </w:rPr>
        <w:t xml:space="preserve"> </w:t>
      </w:r>
      <w:r>
        <w:rPr>
          <w:rFonts w:ascii="CG Times (WN)" w:hAnsi="CG Times (WN)"/>
        </w:rPr>
        <w:t>March</w:t>
      </w:r>
      <w:r w:rsidRPr="00FC1C96">
        <w:rPr>
          <w:rFonts w:ascii="CG Times (WN)" w:hAnsi="CG Times (WN)"/>
        </w:rPr>
        <w:t xml:space="preserve"> 31, </w:t>
      </w:r>
      <w:r>
        <w:rPr>
          <w:rFonts w:ascii="CG Times (WN)" w:hAnsi="CG Times (WN)"/>
        </w:rPr>
        <w:t>20</w:t>
      </w:r>
      <w:r w:rsidR="00B06C0B">
        <w:rPr>
          <w:rFonts w:ascii="CG Times (WN)" w:hAnsi="CG Times (WN)"/>
        </w:rPr>
        <w:t>20</w:t>
      </w:r>
      <w:r>
        <w:rPr>
          <w:rFonts w:ascii="CG Times (WN)" w:hAnsi="CG Times (WN)"/>
        </w:rPr>
        <w:t xml:space="preserve"> and </w:t>
      </w:r>
      <w:r w:rsidRPr="00FC1C96">
        <w:rPr>
          <w:rFonts w:ascii="CG Times (WN)" w:hAnsi="CG Times (WN)"/>
        </w:rPr>
        <w:t>201</w:t>
      </w:r>
      <w:r w:rsidR="00B06C0B">
        <w:rPr>
          <w:rFonts w:ascii="CG Times (WN)" w:hAnsi="CG Times (WN)"/>
        </w:rPr>
        <w:t>9</w:t>
      </w:r>
      <w:r w:rsidRPr="00FC1C96">
        <w:rPr>
          <w:rFonts w:ascii="CG Times (WN)" w:hAnsi="CG Times (WN)"/>
        </w:rPr>
        <w:t>, we recorded $</w:t>
      </w:r>
      <w:r w:rsidR="00B06C0B">
        <w:rPr>
          <w:rFonts w:ascii="CG Times (WN)" w:hAnsi="CG Times (WN)"/>
        </w:rPr>
        <w:t>61,956</w:t>
      </w:r>
      <w:r>
        <w:rPr>
          <w:rFonts w:ascii="CG Times (WN)" w:hAnsi="CG Times (WN)"/>
        </w:rPr>
        <w:t xml:space="preserve"> and $</w:t>
      </w:r>
      <w:r w:rsidR="00B06C0B">
        <w:rPr>
          <w:rFonts w:ascii="CG Times (WN)" w:hAnsi="CG Times (WN)"/>
        </w:rPr>
        <w:t>9,913</w:t>
      </w:r>
      <w:r w:rsidRPr="00FC1C96">
        <w:rPr>
          <w:rFonts w:ascii="CG Times (WN)" w:hAnsi="CG Times (WN)"/>
        </w:rPr>
        <w:t xml:space="preserve"> of revenue associated with several research collaborations with third parties. These amounts primarily represent amounts paid to us by the other parties for materials and other costs associated with joint </w:t>
      </w:r>
      <w:r w:rsidRPr="00FC1C96">
        <w:rPr>
          <w:rFonts w:ascii="CG Times (WN)" w:hAnsi="CG Times (WN)"/>
        </w:rPr>
        <w:lastRenderedPageBreak/>
        <w:t>studies</w:t>
      </w:r>
      <w:r w:rsidRPr="00FC1C96">
        <w:t>.</w:t>
      </w:r>
      <w:r w:rsidR="00D338E8">
        <w:t xml:space="preserve"> </w:t>
      </w:r>
      <w:r w:rsidR="000504C2">
        <w:t xml:space="preserve">As of March 31, </w:t>
      </w:r>
      <w:r w:rsidR="0057743A">
        <w:t>2020 there is approximately $307,000 of upcoming billable fees pursuant to collaborative arrangements.</w:t>
      </w:r>
    </w:p>
    <w:p w14:paraId="5B00B30B" w14:textId="77777777" w:rsidR="000A55AE" w:rsidRDefault="000A55AE" w:rsidP="000A55AE">
      <w:pPr>
        <w:pStyle w:val="BodyText"/>
        <w:spacing w:after="0"/>
        <w:rPr>
          <w:rStyle w:val="BodySubtitleChar"/>
        </w:rPr>
      </w:pPr>
    </w:p>
    <w:p w14:paraId="23937EE7" w14:textId="04CA2BD8" w:rsidR="00285F4C" w:rsidRPr="00285F4C" w:rsidRDefault="0007631A" w:rsidP="000A55AE">
      <w:pPr>
        <w:pStyle w:val="BodyText"/>
        <w:spacing w:after="0"/>
        <w:rPr>
          <w:i/>
          <w:iCs/>
        </w:rPr>
      </w:pPr>
      <w:r w:rsidRPr="004A3014">
        <w:rPr>
          <w:rStyle w:val="BodySubtitleChar"/>
        </w:rPr>
        <w:t>Research and Development</w:t>
      </w:r>
      <w:r w:rsidR="005268FE">
        <w:rPr>
          <w:rStyle w:val="BodySubtitleChar"/>
        </w:rPr>
        <w:t xml:space="preserve"> Expenses</w:t>
      </w:r>
    </w:p>
    <w:p w14:paraId="1A43B9D3" w14:textId="77777777" w:rsidR="000A55AE" w:rsidRDefault="000A55AE" w:rsidP="000A55AE"/>
    <w:p w14:paraId="77372468" w14:textId="243F8712" w:rsidR="005268FE" w:rsidRDefault="005268FE" w:rsidP="000A55AE">
      <w:r w:rsidRPr="005268FE">
        <w:t>Our research and development expenses were $</w:t>
      </w:r>
      <w:r w:rsidR="00D338E8">
        <w:t>808,936</w:t>
      </w:r>
      <w:r w:rsidRPr="005268FE">
        <w:t xml:space="preserve"> and $</w:t>
      </w:r>
      <w:r w:rsidR="00D338E8">
        <w:t>555,718</w:t>
      </w:r>
      <w:r>
        <w:t xml:space="preserve"> </w:t>
      </w:r>
      <w:r w:rsidRPr="005268FE">
        <w:t xml:space="preserve">for the </w:t>
      </w:r>
      <w:r>
        <w:t>three-month periods</w:t>
      </w:r>
      <w:r w:rsidRPr="005268FE">
        <w:t xml:space="preserve"> ended </w:t>
      </w:r>
      <w:r>
        <w:t>March 31, 20</w:t>
      </w:r>
      <w:r w:rsidR="00D338E8">
        <w:t>20</w:t>
      </w:r>
      <w:r>
        <w:t xml:space="preserve"> and 201</w:t>
      </w:r>
      <w:r w:rsidR="00D338E8">
        <w:t>9</w:t>
      </w:r>
      <w:r w:rsidRPr="005268FE">
        <w:t>, respectively. Research and development expense for these periods includes stock-based compensation expense of $</w:t>
      </w:r>
      <w:r w:rsidR="00D338E8">
        <w:t>-0-</w:t>
      </w:r>
      <w:r>
        <w:t xml:space="preserve"> a</w:t>
      </w:r>
      <w:r w:rsidRPr="005268FE">
        <w:t>nd $</w:t>
      </w:r>
      <w:r w:rsidR="00D338E8">
        <w:t>11,319</w:t>
      </w:r>
      <w:r w:rsidRPr="005268FE">
        <w:t>, respectively.</w:t>
      </w:r>
      <w:r w:rsidR="00695B83">
        <w:t xml:space="preserve"> </w:t>
      </w:r>
    </w:p>
    <w:p w14:paraId="79A19317" w14:textId="77777777" w:rsidR="009E4569" w:rsidRDefault="009E4569" w:rsidP="000A55AE"/>
    <w:p w14:paraId="7FCA38AB" w14:textId="138496B7" w:rsidR="009E4569" w:rsidRPr="009E4569" w:rsidRDefault="00D338E8" w:rsidP="009E4569">
      <w:pPr>
        <w:rPr>
          <w:rFonts w:ascii="CG Times (WN)" w:hAnsi="CG Times (WN)"/>
        </w:rPr>
      </w:pPr>
      <w:r w:rsidRPr="00640BA0">
        <w:t xml:space="preserve">Our research and development expenses can fluctuate considerably on a period-to-period basis, depending on the timing of expenditures related to our </w:t>
      </w:r>
      <w:r>
        <w:t xml:space="preserve">government </w:t>
      </w:r>
      <w:r w:rsidRPr="00640BA0">
        <w:t>grants</w:t>
      </w:r>
      <w:r>
        <w:t xml:space="preserve"> and other research projects, and other factors. </w:t>
      </w:r>
      <w:r w:rsidR="009E4569" w:rsidRPr="009E4569">
        <w:t xml:space="preserve">Research and development expenses </w:t>
      </w:r>
      <w:r w:rsidR="009E4569" w:rsidRPr="006E769B">
        <w:t>increased</w:t>
      </w:r>
      <w:r w:rsidR="009E4569" w:rsidRPr="009E4569">
        <w:t xml:space="preserve"> by $</w:t>
      </w:r>
      <w:r>
        <w:t>253,218</w:t>
      </w:r>
      <w:r w:rsidR="009E4569" w:rsidRPr="009E4569">
        <w:t xml:space="preserve">, or </w:t>
      </w:r>
      <w:r>
        <w:t>46</w:t>
      </w:r>
      <w:r w:rsidR="009E4569" w:rsidRPr="009E4569">
        <w:t xml:space="preserve">%, from </w:t>
      </w:r>
      <w:r w:rsidR="009E4569">
        <w:t>the 201</w:t>
      </w:r>
      <w:r>
        <w:t>9</w:t>
      </w:r>
      <w:r w:rsidR="009E4569">
        <w:t xml:space="preserve"> period to 20</w:t>
      </w:r>
      <w:r>
        <w:t>20</w:t>
      </w:r>
      <w:r w:rsidR="009E4569">
        <w:t xml:space="preserve"> </w:t>
      </w:r>
      <w:r w:rsidR="009E4569" w:rsidRPr="009E4569">
        <w:t xml:space="preserve">primarily due to the timing of expenditures related to our government grants. </w:t>
      </w:r>
      <w:r w:rsidR="009E4569" w:rsidRPr="009E4569">
        <w:rPr>
          <w:rFonts w:ascii="CG Times (WN)" w:hAnsi="CG Times (WN)"/>
        </w:rPr>
        <w:t xml:space="preserve">Our research and development costs do not include costs incurred by the </w:t>
      </w:r>
      <w:r w:rsidR="006E769B">
        <w:rPr>
          <w:rFonts w:ascii="CG Times (WN)" w:hAnsi="CG Times (WN)"/>
        </w:rPr>
        <w:t>HIV Vaccine Trials Network (</w:t>
      </w:r>
      <w:r w:rsidR="009E4569" w:rsidRPr="009E4569">
        <w:rPr>
          <w:rFonts w:ascii="CG Times (WN)" w:hAnsi="CG Times (WN)"/>
        </w:rPr>
        <w:t>HVTN</w:t>
      </w:r>
      <w:r w:rsidR="006E769B">
        <w:rPr>
          <w:rFonts w:ascii="CG Times (WN)" w:hAnsi="CG Times (WN)"/>
        </w:rPr>
        <w:t>)</w:t>
      </w:r>
      <w:r w:rsidR="009E4569" w:rsidRPr="009E4569">
        <w:rPr>
          <w:rFonts w:ascii="CG Times (WN)" w:hAnsi="CG Times (WN)"/>
        </w:rPr>
        <w:t xml:space="preserve"> in conducting clinical trials of our preventive HIV vaccines; those costs are funded directly to the HVTN by NIAID.</w:t>
      </w:r>
    </w:p>
    <w:p w14:paraId="31494B84" w14:textId="77777777" w:rsidR="009E4569" w:rsidRPr="0014178D" w:rsidRDefault="009E4569" w:rsidP="000A55AE"/>
    <w:p w14:paraId="08B20BD0" w14:textId="77777777" w:rsidR="00D338E8" w:rsidRPr="00632F8B" w:rsidRDefault="00D338E8" w:rsidP="00D338E8">
      <w:pPr>
        <w:pStyle w:val="NormalWeb"/>
        <w:spacing w:before="0" w:beforeAutospacing="0" w:after="0" w:afterAutospacing="0"/>
        <w:rPr>
          <w:sz w:val="20"/>
          <w:szCs w:val="20"/>
        </w:rPr>
      </w:pPr>
      <w:r>
        <w:rPr>
          <w:sz w:val="20"/>
          <w:szCs w:val="20"/>
        </w:rPr>
        <w:t>We do not</w:t>
      </w:r>
      <w:r w:rsidRPr="00632F8B">
        <w:rPr>
          <w:sz w:val="20"/>
          <w:szCs w:val="20"/>
        </w:rPr>
        <w:t xml:space="preserve"> </w:t>
      </w:r>
      <w:r>
        <w:rPr>
          <w:sz w:val="20"/>
          <w:szCs w:val="20"/>
        </w:rPr>
        <w:t>disclose our</w:t>
      </w:r>
      <w:r w:rsidRPr="00632F8B">
        <w:rPr>
          <w:sz w:val="20"/>
          <w:szCs w:val="20"/>
        </w:rPr>
        <w:t xml:space="preserve"> research and development expenses by project, since our employees</w:t>
      </w:r>
      <w:r>
        <w:rPr>
          <w:sz w:val="20"/>
          <w:szCs w:val="20"/>
        </w:rPr>
        <w:t>’</w:t>
      </w:r>
      <w:r w:rsidRPr="00632F8B">
        <w:rPr>
          <w:sz w:val="20"/>
          <w:szCs w:val="20"/>
        </w:rPr>
        <w:t xml:space="preserve"> time is spread across multiple programs and our laboratory facility is used for multiple vaccine candidates. We track the direct cost of research and development expenses </w:t>
      </w:r>
      <w:r>
        <w:rPr>
          <w:sz w:val="20"/>
          <w:szCs w:val="20"/>
        </w:rPr>
        <w:t xml:space="preserve">related to </w:t>
      </w:r>
      <w:r w:rsidRPr="00632F8B">
        <w:rPr>
          <w:sz w:val="20"/>
          <w:szCs w:val="20"/>
        </w:rPr>
        <w:t>government grant revenue by the percentage of assigned employees’ time spent on each grant and other direct costs associated with each grant. Indirect costs associated with grants are not tracked separately but are applied based on a contracted overhead</w:t>
      </w:r>
      <w:r>
        <w:rPr>
          <w:sz w:val="20"/>
          <w:szCs w:val="20"/>
        </w:rPr>
        <w:t xml:space="preserve"> rate negotiated with the NIH. </w:t>
      </w:r>
      <w:r w:rsidRPr="00632F8B">
        <w:rPr>
          <w:sz w:val="20"/>
          <w:szCs w:val="20"/>
        </w:rPr>
        <w:t>Therefore, the recorded revenues associated with government grants ap</w:t>
      </w:r>
      <w:r>
        <w:rPr>
          <w:sz w:val="20"/>
          <w:szCs w:val="20"/>
        </w:rPr>
        <w:t xml:space="preserve">proximates the costs incurred. </w:t>
      </w:r>
    </w:p>
    <w:p w14:paraId="317BE289" w14:textId="77777777" w:rsidR="00D338E8" w:rsidRPr="00640BA0" w:rsidRDefault="00D338E8" w:rsidP="00D338E8"/>
    <w:p w14:paraId="78AE6F8B" w14:textId="77777777" w:rsidR="00D338E8" w:rsidRDefault="00D338E8" w:rsidP="00D338E8">
      <w:r w:rsidRPr="00176BE5">
        <w:t xml:space="preserve">We do not provide forward-looking estimates of costs and time to complete our research programs due to the many uncertainties associated with vaccine development. </w:t>
      </w:r>
      <w:r w:rsidRPr="00640BA0">
        <w:t xml:space="preserve">Due to </w:t>
      </w:r>
      <w:r>
        <w:t>these uncertainties</w:t>
      </w:r>
      <w:r w:rsidRPr="00640BA0">
        <w:t>, our future expenditures are likely to be highly volatile in future periods depending on the outcomes of the trials and studies</w:t>
      </w:r>
      <w:r>
        <w:t xml:space="preserve">. </w:t>
      </w:r>
      <w:r w:rsidRPr="00176BE5">
        <w:t xml:space="preserve">As we obtain data from pre-clinical studies and clinical trials, we may elect to discontinue or delay </w:t>
      </w:r>
      <w:r>
        <w:t>vaccine development programs</w:t>
      </w:r>
      <w:r w:rsidRPr="00176BE5">
        <w:t xml:space="preserve"> to focus our resources on more promising vaccine candidates. Completion of </w:t>
      </w:r>
      <w:r>
        <w:t xml:space="preserve">preclinical studies and human </w:t>
      </w:r>
      <w:r w:rsidRPr="00176BE5">
        <w:t xml:space="preserve">clinical trials may take several years or more, but the length of time can vary substantially depending upon </w:t>
      </w:r>
      <w:r>
        <w:t>several factors</w:t>
      </w:r>
      <w:r w:rsidRPr="00176BE5">
        <w:t>.</w:t>
      </w:r>
      <w:r>
        <w:t xml:space="preserve"> </w:t>
      </w:r>
      <w:r w:rsidRPr="00640BA0">
        <w:t>The duration and the cost of future clinical trials may vary significantly over the life of the project because of differences arising during development of the human clinical trial pro</w:t>
      </w:r>
      <w:r>
        <w:t xml:space="preserve">tocols, including </w:t>
      </w:r>
      <w:r w:rsidRPr="00426C8F">
        <w:t>the number of patients that ultimately participate in the clinical trial;</w:t>
      </w:r>
      <w:r>
        <w:t xml:space="preserve"> </w:t>
      </w:r>
      <w:r w:rsidRPr="00426C8F">
        <w:t>the duration of patient follow-up that seems appropriate in view of the results;</w:t>
      </w:r>
      <w:r>
        <w:t xml:space="preserve"> </w:t>
      </w:r>
      <w:r w:rsidRPr="00426C8F">
        <w:t>the number of clinical sites included in the clinical trials; and</w:t>
      </w:r>
      <w:r>
        <w:t xml:space="preserve"> </w:t>
      </w:r>
      <w:r w:rsidRPr="00426C8F">
        <w:t>the length of time required to enroll suitable patient subjects.</w:t>
      </w:r>
    </w:p>
    <w:p w14:paraId="3B115EF6" w14:textId="77777777" w:rsidR="000A55AE" w:rsidRPr="0014178D" w:rsidRDefault="000A55AE" w:rsidP="000A55AE"/>
    <w:p w14:paraId="384A07AB" w14:textId="6621E700" w:rsidR="00C323DF" w:rsidRPr="004A3014" w:rsidRDefault="009771C4" w:rsidP="000A55AE">
      <w:pPr>
        <w:pStyle w:val="BodyText"/>
        <w:spacing w:after="0"/>
        <w:rPr>
          <w:rStyle w:val="BodySubtitleChar"/>
        </w:rPr>
      </w:pPr>
      <w:r w:rsidRPr="004A3014">
        <w:rPr>
          <w:rStyle w:val="BodySubtitleChar"/>
        </w:rPr>
        <w:t>General and Administrative Expense</w:t>
      </w:r>
      <w:r w:rsidR="005268FE">
        <w:rPr>
          <w:rStyle w:val="BodySubtitleChar"/>
        </w:rPr>
        <w:t>s</w:t>
      </w:r>
    </w:p>
    <w:p w14:paraId="2F323023" w14:textId="77777777" w:rsidR="000A55AE" w:rsidRDefault="000A55AE" w:rsidP="000A55AE"/>
    <w:p w14:paraId="0D9B8123" w14:textId="6452CA83" w:rsidR="00E47E5D" w:rsidRDefault="00E47E5D" w:rsidP="000A55AE">
      <w:r w:rsidRPr="00E47E5D">
        <w:t>Our general and administrative expenses were</w:t>
      </w:r>
      <w:r w:rsidR="00ED15BB">
        <w:t xml:space="preserve"> $</w:t>
      </w:r>
      <w:r w:rsidR="0057743A">
        <w:t>502,345</w:t>
      </w:r>
      <w:r w:rsidRPr="00E47E5D">
        <w:t xml:space="preserve"> and </w:t>
      </w:r>
      <w:r>
        <w:t>$</w:t>
      </w:r>
      <w:r w:rsidR="0050175E">
        <w:t>510,064</w:t>
      </w:r>
      <w:r w:rsidRPr="00E47E5D">
        <w:t xml:space="preserve"> for the </w:t>
      </w:r>
      <w:r>
        <w:t>three-month periods</w:t>
      </w:r>
      <w:r w:rsidRPr="00E47E5D">
        <w:t xml:space="preserve"> ended </w:t>
      </w:r>
      <w:r>
        <w:t>March 31, 20</w:t>
      </w:r>
      <w:r w:rsidR="0050175E">
        <w:t>20</w:t>
      </w:r>
      <w:r w:rsidRPr="00E47E5D">
        <w:t xml:space="preserve"> </w:t>
      </w:r>
      <w:r>
        <w:t>and 201</w:t>
      </w:r>
      <w:r w:rsidR="0050175E">
        <w:t>9</w:t>
      </w:r>
      <w:r w:rsidRPr="00E47E5D">
        <w:t xml:space="preserve">, respectively. General and administrative costs include officers’ salaries, legal and </w:t>
      </w:r>
      <w:r>
        <w:t>accounting costs, patent costs</w:t>
      </w:r>
      <w:r w:rsidRPr="00E47E5D">
        <w:t>, and other general corporate expenses. General and administrative expense includes stock-based compensation expense of $</w:t>
      </w:r>
      <w:r w:rsidR="0050175E">
        <w:t>6,000</w:t>
      </w:r>
      <w:r w:rsidRPr="00E47E5D">
        <w:t xml:space="preserve"> and $</w:t>
      </w:r>
      <w:r w:rsidR="0050175E">
        <w:t>141,905</w:t>
      </w:r>
      <w:r w:rsidRPr="00E47E5D">
        <w:t xml:space="preserve"> </w:t>
      </w:r>
      <w:r>
        <w:t>for the 20</w:t>
      </w:r>
      <w:r w:rsidR="0050175E">
        <w:t>20</w:t>
      </w:r>
      <w:r>
        <w:t xml:space="preserve"> and 201</w:t>
      </w:r>
      <w:r w:rsidR="0050175E">
        <w:t>9</w:t>
      </w:r>
      <w:r>
        <w:t xml:space="preserve"> periods</w:t>
      </w:r>
      <w:r w:rsidRPr="00E47E5D">
        <w:t xml:space="preserve">, respectively. </w:t>
      </w:r>
      <w:r w:rsidR="009312E9">
        <w:t>Excluding stock-based compensation expense, general and admin</w:t>
      </w:r>
      <w:r w:rsidR="00ED15BB">
        <w:t>istrative expenses were $</w:t>
      </w:r>
      <w:r w:rsidR="0057743A">
        <w:t>49</w:t>
      </w:r>
      <w:r w:rsidR="004A5874">
        <w:t>6</w:t>
      </w:r>
      <w:r w:rsidR="0057743A">
        <w:t>,345</w:t>
      </w:r>
      <w:r w:rsidR="009312E9" w:rsidRPr="00E47E5D">
        <w:t xml:space="preserve"> and </w:t>
      </w:r>
      <w:r w:rsidR="009312E9">
        <w:t>$</w:t>
      </w:r>
      <w:r w:rsidR="0050175E">
        <w:t>368,159</w:t>
      </w:r>
      <w:r w:rsidR="009312E9" w:rsidRPr="00E47E5D">
        <w:t xml:space="preserve"> for the </w:t>
      </w:r>
      <w:r w:rsidR="009312E9">
        <w:t>three-month periods</w:t>
      </w:r>
      <w:r w:rsidR="009312E9" w:rsidRPr="00E47E5D">
        <w:t xml:space="preserve"> ended </w:t>
      </w:r>
      <w:r w:rsidR="009312E9">
        <w:t>March 31, 20</w:t>
      </w:r>
      <w:r w:rsidR="0050175E">
        <w:t>20</w:t>
      </w:r>
      <w:r w:rsidR="009312E9" w:rsidRPr="00E47E5D">
        <w:t xml:space="preserve"> </w:t>
      </w:r>
      <w:r w:rsidR="009312E9">
        <w:t>and 201</w:t>
      </w:r>
      <w:r w:rsidR="0050175E">
        <w:t>9</w:t>
      </w:r>
      <w:r w:rsidR="009312E9" w:rsidRPr="00E47E5D">
        <w:t>, respectively</w:t>
      </w:r>
      <w:r w:rsidR="0057743A">
        <w:t>, representing an increase of $1</w:t>
      </w:r>
      <w:r w:rsidR="004A5874">
        <w:t>28</w:t>
      </w:r>
      <w:r w:rsidR="0057743A">
        <w:t>,186 (3</w:t>
      </w:r>
      <w:r w:rsidR="004A5874">
        <w:t>5</w:t>
      </w:r>
      <w:r w:rsidR="0057743A">
        <w:t>%).</w:t>
      </w:r>
      <w:r w:rsidR="009312E9" w:rsidRPr="00E47E5D">
        <w:t xml:space="preserve"> </w:t>
      </w:r>
      <w:r w:rsidR="009312E9" w:rsidRPr="0057743A">
        <w:rPr>
          <w:color w:val="000000"/>
        </w:rPr>
        <w:t>Th</w:t>
      </w:r>
      <w:r w:rsidR="0057743A" w:rsidRPr="0057743A">
        <w:rPr>
          <w:color w:val="000000"/>
        </w:rPr>
        <w:t>is</w:t>
      </w:r>
      <w:r w:rsidR="009312E9" w:rsidRPr="0057743A">
        <w:rPr>
          <w:color w:val="000000"/>
        </w:rPr>
        <w:t xml:space="preserve"> </w:t>
      </w:r>
      <w:r w:rsidR="00E77B25" w:rsidRPr="0057743A">
        <w:rPr>
          <w:color w:val="000000"/>
        </w:rPr>
        <w:t>increase</w:t>
      </w:r>
      <w:r w:rsidR="009312E9" w:rsidRPr="0057743A">
        <w:rPr>
          <w:color w:val="000000"/>
        </w:rPr>
        <w:t xml:space="preserve"> </w:t>
      </w:r>
      <w:r w:rsidR="0057743A" w:rsidRPr="0057743A">
        <w:rPr>
          <w:color w:val="000000"/>
        </w:rPr>
        <w:t>is primarily due to</w:t>
      </w:r>
      <w:r w:rsidR="0057743A">
        <w:rPr>
          <w:color w:val="000000"/>
        </w:rPr>
        <w:t xml:space="preserve"> higher legal fees and patent costs</w:t>
      </w:r>
      <w:r w:rsidR="00806CA0" w:rsidRPr="0057743A">
        <w:rPr>
          <w:color w:val="000000"/>
        </w:rPr>
        <w:t>.</w:t>
      </w:r>
      <w:r w:rsidR="00806CA0" w:rsidRPr="00F11B56">
        <w:rPr>
          <w:color w:val="000000"/>
        </w:rPr>
        <w:t xml:space="preserve"> </w:t>
      </w:r>
      <w:r w:rsidRPr="00F11B56">
        <w:t>We expect that our general and administrative costs may increase in the future in support of expanded research and development</w:t>
      </w:r>
      <w:r w:rsidRPr="00E47E5D">
        <w:t xml:space="preserve"> activities and other general corporate activities.</w:t>
      </w:r>
    </w:p>
    <w:p w14:paraId="0C7E3CDD" w14:textId="77777777" w:rsidR="000A55AE" w:rsidRDefault="000A55AE" w:rsidP="000A55AE">
      <w:pPr>
        <w:pStyle w:val="BodyText"/>
        <w:spacing w:after="0"/>
        <w:rPr>
          <w:rStyle w:val="BodySubtitleChar"/>
        </w:rPr>
      </w:pPr>
    </w:p>
    <w:p w14:paraId="3DB48256" w14:textId="336D8B1A" w:rsidR="00C323DF" w:rsidRPr="004A3014" w:rsidRDefault="00B07D72" w:rsidP="000A55AE">
      <w:pPr>
        <w:pStyle w:val="BodyText"/>
        <w:spacing w:after="0"/>
        <w:rPr>
          <w:i/>
        </w:rPr>
      </w:pPr>
      <w:r w:rsidRPr="004A3014">
        <w:rPr>
          <w:rStyle w:val="BodySubtitleChar"/>
        </w:rPr>
        <w:t>Stock-Based Compensation Expense</w:t>
      </w:r>
    </w:p>
    <w:p w14:paraId="0F2C7D45" w14:textId="77777777" w:rsidR="000A55AE" w:rsidRDefault="000A55AE" w:rsidP="000A55AE">
      <w:pPr>
        <w:pStyle w:val="BodyText"/>
        <w:spacing w:after="0"/>
        <w:rPr>
          <w:color w:val="000000"/>
        </w:rPr>
      </w:pPr>
    </w:p>
    <w:p w14:paraId="21A9AB98" w14:textId="0E39D5EF" w:rsidR="00E47E5D" w:rsidRDefault="0057743A" w:rsidP="000A55AE">
      <w:pPr>
        <w:pStyle w:val="BodyText"/>
        <w:spacing w:after="0"/>
        <w:rPr>
          <w:color w:val="000000"/>
        </w:rPr>
      </w:pPr>
      <w:r>
        <w:rPr>
          <w:color w:val="000000"/>
        </w:rPr>
        <w:t>The table below shows</w:t>
      </w:r>
      <w:r w:rsidR="00E47E5D">
        <w:rPr>
          <w:color w:val="000000"/>
        </w:rPr>
        <w:t xml:space="preserve"> the components of stock-based compensation expense</w:t>
      </w:r>
      <w:r>
        <w:rPr>
          <w:color w:val="000000"/>
        </w:rPr>
        <w:t xml:space="preserve"> for the three-month periods ended March 31, 2020 and 2019.</w:t>
      </w:r>
      <w:r w:rsidRPr="0057743A">
        <w:t xml:space="preserve"> </w:t>
      </w:r>
      <w:r w:rsidRPr="00137D87">
        <w:t>In general, stock-based compensation expense is allocated to research and development expense or general and administrative expense according to the classification of cash compensation paid to the employee, consultant or director to whom the stock compensation was granted.</w:t>
      </w:r>
    </w:p>
    <w:tbl>
      <w:tblPr>
        <w:tblW w:w="9937" w:type="dxa"/>
        <w:tblLook w:val="01E0" w:firstRow="1" w:lastRow="1" w:firstColumn="1" w:lastColumn="1" w:noHBand="0" w:noVBand="0"/>
      </w:tblPr>
      <w:tblGrid>
        <w:gridCol w:w="7038"/>
        <w:gridCol w:w="1530"/>
        <w:gridCol w:w="1369"/>
      </w:tblGrid>
      <w:tr w:rsidR="00E47E5D" w:rsidRPr="00C44927" w14:paraId="099733E4" w14:textId="77777777" w:rsidTr="00785361">
        <w:tc>
          <w:tcPr>
            <w:tcW w:w="7038" w:type="dxa"/>
          </w:tcPr>
          <w:p w14:paraId="0528A47D" w14:textId="77777777" w:rsidR="00E47E5D" w:rsidRPr="00C44927" w:rsidRDefault="00E47E5D" w:rsidP="000A55AE">
            <w:pPr>
              <w:rPr>
                <w:color w:val="000000"/>
              </w:rPr>
            </w:pPr>
          </w:p>
        </w:tc>
        <w:tc>
          <w:tcPr>
            <w:tcW w:w="2899" w:type="dxa"/>
            <w:gridSpan w:val="2"/>
            <w:tcBorders>
              <w:bottom w:val="single" w:sz="4" w:space="0" w:color="auto"/>
            </w:tcBorders>
          </w:tcPr>
          <w:p w14:paraId="033B00B8" w14:textId="77777777" w:rsidR="00E47E5D" w:rsidRPr="00C44927" w:rsidRDefault="00E47E5D" w:rsidP="000A55AE">
            <w:pPr>
              <w:jc w:val="center"/>
              <w:rPr>
                <w:color w:val="000000"/>
              </w:rPr>
            </w:pPr>
            <w:r>
              <w:rPr>
                <w:color w:val="000000"/>
              </w:rPr>
              <w:t>Three</w:t>
            </w:r>
            <w:r w:rsidRPr="00C44927">
              <w:rPr>
                <w:color w:val="000000"/>
              </w:rPr>
              <w:t xml:space="preserve"> Months Ended </w:t>
            </w:r>
            <w:r>
              <w:rPr>
                <w:color w:val="000000"/>
              </w:rPr>
              <w:t>March 31</w:t>
            </w:r>
            <w:r w:rsidRPr="00C44927">
              <w:rPr>
                <w:color w:val="000000"/>
              </w:rPr>
              <w:t>,</w:t>
            </w:r>
          </w:p>
        </w:tc>
      </w:tr>
      <w:tr w:rsidR="00E47E5D" w:rsidRPr="00C44927" w14:paraId="4778F014" w14:textId="77777777" w:rsidTr="00785361">
        <w:tc>
          <w:tcPr>
            <w:tcW w:w="7038" w:type="dxa"/>
          </w:tcPr>
          <w:p w14:paraId="08AE6948" w14:textId="77777777" w:rsidR="00E47E5D" w:rsidRPr="00C44927" w:rsidRDefault="00E47E5D" w:rsidP="000A55AE">
            <w:pPr>
              <w:rPr>
                <w:color w:val="000000"/>
              </w:rPr>
            </w:pPr>
          </w:p>
        </w:tc>
        <w:tc>
          <w:tcPr>
            <w:tcW w:w="1530" w:type="dxa"/>
            <w:tcBorders>
              <w:bottom w:val="single" w:sz="4" w:space="0" w:color="auto"/>
            </w:tcBorders>
          </w:tcPr>
          <w:p w14:paraId="2609A326" w14:textId="322DB457" w:rsidR="00E47E5D" w:rsidRPr="00691CC0" w:rsidRDefault="00E47E5D" w:rsidP="000A55AE">
            <w:pPr>
              <w:ind w:left="-18"/>
              <w:jc w:val="center"/>
              <w:rPr>
                <w:color w:val="000000"/>
              </w:rPr>
            </w:pPr>
            <w:r>
              <w:rPr>
                <w:color w:val="000000"/>
              </w:rPr>
              <w:t>20</w:t>
            </w:r>
            <w:r w:rsidR="0050175E">
              <w:rPr>
                <w:color w:val="000000"/>
              </w:rPr>
              <w:t>20</w:t>
            </w:r>
          </w:p>
        </w:tc>
        <w:tc>
          <w:tcPr>
            <w:tcW w:w="1369" w:type="dxa"/>
            <w:tcBorders>
              <w:bottom w:val="single" w:sz="4" w:space="0" w:color="auto"/>
            </w:tcBorders>
          </w:tcPr>
          <w:p w14:paraId="5AC4B5A2" w14:textId="4C89F805" w:rsidR="00E47E5D" w:rsidRPr="00691CC0" w:rsidRDefault="00E47E5D" w:rsidP="000A55AE">
            <w:pPr>
              <w:jc w:val="center"/>
              <w:rPr>
                <w:color w:val="000000"/>
              </w:rPr>
            </w:pPr>
            <w:r>
              <w:rPr>
                <w:color w:val="000000"/>
              </w:rPr>
              <w:t>201</w:t>
            </w:r>
            <w:r w:rsidR="0050175E">
              <w:rPr>
                <w:color w:val="000000"/>
              </w:rPr>
              <w:t>9</w:t>
            </w:r>
          </w:p>
        </w:tc>
      </w:tr>
      <w:tr w:rsidR="00E47E5D" w:rsidRPr="00C44927" w14:paraId="3C144E0D" w14:textId="77777777" w:rsidTr="00785361">
        <w:tc>
          <w:tcPr>
            <w:tcW w:w="7038" w:type="dxa"/>
          </w:tcPr>
          <w:p w14:paraId="059EFC25" w14:textId="77777777" w:rsidR="00E47E5D" w:rsidRPr="00C44927" w:rsidRDefault="00E47E5D" w:rsidP="000A55AE">
            <w:pPr>
              <w:rPr>
                <w:color w:val="000000"/>
              </w:rPr>
            </w:pPr>
            <w:r>
              <w:rPr>
                <w:color w:val="000000"/>
              </w:rPr>
              <w:t>Stock option expense</w:t>
            </w:r>
          </w:p>
        </w:tc>
        <w:tc>
          <w:tcPr>
            <w:tcW w:w="1530" w:type="dxa"/>
            <w:tcBorders>
              <w:top w:val="single" w:sz="4" w:space="0" w:color="auto"/>
            </w:tcBorders>
          </w:tcPr>
          <w:p w14:paraId="3F3BD8DB" w14:textId="6E5077A7" w:rsidR="00E47E5D" w:rsidRPr="00C44927" w:rsidRDefault="00E47E5D" w:rsidP="000A55AE">
            <w:pPr>
              <w:tabs>
                <w:tab w:val="decimal" w:pos="1062"/>
              </w:tabs>
              <w:ind w:left="-18"/>
              <w:rPr>
                <w:color w:val="000000"/>
              </w:rPr>
            </w:pPr>
            <w:r>
              <w:rPr>
                <w:color w:val="000000"/>
              </w:rPr>
              <w:t xml:space="preserve">$   </w:t>
            </w:r>
            <w:r w:rsidR="0050175E">
              <w:rPr>
                <w:color w:val="000000"/>
              </w:rPr>
              <w:t xml:space="preserve">       -</w:t>
            </w:r>
          </w:p>
        </w:tc>
        <w:tc>
          <w:tcPr>
            <w:tcW w:w="1369" w:type="dxa"/>
            <w:tcBorders>
              <w:top w:val="single" w:sz="4" w:space="0" w:color="auto"/>
            </w:tcBorders>
          </w:tcPr>
          <w:p w14:paraId="75FB12FC" w14:textId="059F104E" w:rsidR="00E47E5D" w:rsidRPr="00C44927" w:rsidRDefault="00E47E5D" w:rsidP="000A55AE">
            <w:pPr>
              <w:tabs>
                <w:tab w:val="decimal" w:pos="972"/>
              </w:tabs>
              <w:rPr>
                <w:color w:val="000000"/>
              </w:rPr>
            </w:pPr>
            <w:r>
              <w:rPr>
                <w:color w:val="000000"/>
              </w:rPr>
              <w:t xml:space="preserve">$  </w:t>
            </w:r>
            <w:r w:rsidR="009E4569">
              <w:rPr>
                <w:color w:val="000000"/>
              </w:rPr>
              <w:t>2</w:t>
            </w:r>
            <w:r w:rsidR="0050175E">
              <w:rPr>
                <w:color w:val="000000"/>
              </w:rPr>
              <w:t>6,652</w:t>
            </w:r>
          </w:p>
        </w:tc>
      </w:tr>
      <w:tr w:rsidR="00E47E5D" w:rsidRPr="00C44927" w14:paraId="0E0575F2" w14:textId="77777777" w:rsidTr="00785361">
        <w:tc>
          <w:tcPr>
            <w:tcW w:w="7038" w:type="dxa"/>
          </w:tcPr>
          <w:p w14:paraId="72030FFA" w14:textId="3EF5E90E" w:rsidR="00E47E5D" w:rsidRPr="00F11B56" w:rsidRDefault="00904E61" w:rsidP="000A55AE">
            <w:pPr>
              <w:rPr>
                <w:color w:val="000000"/>
              </w:rPr>
            </w:pPr>
            <w:r w:rsidRPr="00F11B56">
              <w:rPr>
                <w:color w:val="000000"/>
              </w:rPr>
              <w:t xml:space="preserve">Stock </w:t>
            </w:r>
            <w:r w:rsidR="00F11B56" w:rsidRPr="00F11B56">
              <w:rPr>
                <w:color w:val="000000"/>
              </w:rPr>
              <w:t>issued for services</w:t>
            </w:r>
          </w:p>
        </w:tc>
        <w:tc>
          <w:tcPr>
            <w:tcW w:w="1530" w:type="dxa"/>
            <w:tcBorders>
              <w:bottom w:val="single" w:sz="4" w:space="0" w:color="auto"/>
            </w:tcBorders>
          </w:tcPr>
          <w:p w14:paraId="7A88E00E" w14:textId="1D1F1C78" w:rsidR="00E47E5D" w:rsidRPr="00F11B56" w:rsidRDefault="0050175E" w:rsidP="000A55AE">
            <w:pPr>
              <w:tabs>
                <w:tab w:val="decimal" w:pos="1062"/>
              </w:tabs>
              <w:ind w:left="-18"/>
              <w:rPr>
                <w:color w:val="000000"/>
              </w:rPr>
            </w:pPr>
            <w:r>
              <w:rPr>
                <w:color w:val="000000"/>
              </w:rPr>
              <w:t>6,000</w:t>
            </w:r>
          </w:p>
        </w:tc>
        <w:tc>
          <w:tcPr>
            <w:tcW w:w="1369" w:type="dxa"/>
            <w:tcBorders>
              <w:bottom w:val="single" w:sz="4" w:space="0" w:color="auto"/>
            </w:tcBorders>
          </w:tcPr>
          <w:p w14:paraId="70086B33" w14:textId="4D1EAA9C" w:rsidR="00E47E5D" w:rsidRPr="00C44927" w:rsidRDefault="0050175E" w:rsidP="000A55AE">
            <w:pPr>
              <w:tabs>
                <w:tab w:val="decimal" w:pos="972"/>
              </w:tabs>
              <w:rPr>
                <w:color w:val="000000"/>
              </w:rPr>
            </w:pPr>
            <w:r>
              <w:rPr>
                <w:color w:val="000000"/>
              </w:rPr>
              <w:t>126,572</w:t>
            </w:r>
          </w:p>
        </w:tc>
      </w:tr>
      <w:tr w:rsidR="00E47E5D" w:rsidRPr="00C44927" w14:paraId="6766B2AD" w14:textId="77777777" w:rsidTr="00785361">
        <w:tc>
          <w:tcPr>
            <w:tcW w:w="7038" w:type="dxa"/>
          </w:tcPr>
          <w:p w14:paraId="028A867B" w14:textId="77777777" w:rsidR="00E47E5D" w:rsidRPr="00C44927" w:rsidRDefault="00E47E5D" w:rsidP="000A55AE">
            <w:pPr>
              <w:rPr>
                <w:color w:val="000000"/>
              </w:rPr>
            </w:pPr>
            <w:r>
              <w:rPr>
                <w:color w:val="000000"/>
              </w:rPr>
              <w:t>Total stock-b</w:t>
            </w:r>
            <w:r w:rsidRPr="00C44927">
              <w:rPr>
                <w:color w:val="000000"/>
              </w:rPr>
              <w:t>a</w:t>
            </w:r>
            <w:r>
              <w:rPr>
                <w:color w:val="000000"/>
              </w:rPr>
              <w:t>sed compensation e</w:t>
            </w:r>
            <w:r w:rsidRPr="00C44927">
              <w:rPr>
                <w:color w:val="000000"/>
              </w:rPr>
              <w:t>xpense</w:t>
            </w:r>
          </w:p>
        </w:tc>
        <w:tc>
          <w:tcPr>
            <w:tcW w:w="1530" w:type="dxa"/>
            <w:tcBorders>
              <w:top w:val="single" w:sz="4" w:space="0" w:color="auto"/>
              <w:bottom w:val="double" w:sz="4" w:space="0" w:color="auto"/>
            </w:tcBorders>
          </w:tcPr>
          <w:p w14:paraId="1755CDB1" w14:textId="1D5EDE06" w:rsidR="00E47E5D" w:rsidRPr="00C44927" w:rsidRDefault="00E47E5D" w:rsidP="000A55AE">
            <w:pPr>
              <w:tabs>
                <w:tab w:val="decimal" w:pos="1062"/>
              </w:tabs>
              <w:ind w:left="-18"/>
              <w:rPr>
                <w:color w:val="000000"/>
              </w:rPr>
            </w:pPr>
            <w:r w:rsidRPr="00C44927">
              <w:rPr>
                <w:color w:val="000000"/>
              </w:rPr>
              <w:t>$</w:t>
            </w:r>
            <w:r>
              <w:rPr>
                <w:color w:val="000000"/>
              </w:rPr>
              <w:t xml:space="preserve"> </w:t>
            </w:r>
            <w:r w:rsidR="0050175E">
              <w:rPr>
                <w:color w:val="000000"/>
              </w:rPr>
              <w:t>6,000</w:t>
            </w:r>
          </w:p>
        </w:tc>
        <w:tc>
          <w:tcPr>
            <w:tcW w:w="1369" w:type="dxa"/>
            <w:tcBorders>
              <w:top w:val="single" w:sz="4" w:space="0" w:color="auto"/>
              <w:bottom w:val="double" w:sz="4" w:space="0" w:color="auto"/>
            </w:tcBorders>
          </w:tcPr>
          <w:p w14:paraId="51C0AAD6" w14:textId="73448C85" w:rsidR="00E47E5D" w:rsidRPr="00C44927" w:rsidRDefault="00E47E5D" w:rsidP="000A55AE">
            <w:pPr>
              <w:tabs>
                <w:tab w:val="decimal" w:pos="972"/>
              </w:tabs>
              <w:rPr>
                <w:color w:val="000000"/>
              </w:rPr>
            </w:pPr>
            <w:r w:rsidRPr="00C44927">
              <w:rPr>
                <w:color w:val="000000"/>
              </w:rPr>
              <w:t>$</w:t>
            </w:r>
            <w:r w:rsidR="0014178D">
              <w:rPr>
                <w:color w:val="000000"/>
              </w:rPr>
              <w:t xml:space="preserve"> </w:t>
            </w:r>
            <w:r w:rsidR="0050175E">
              <w:rPr>
                <w:color w:val="000000"/>
              </w:rPr>
              <w:t>153,224</w:t>
            </w:r>
          </w:p>
        </w:tc>
      </w:tr>
    </w:tbl>
    <w:p w14:paraId="585E27FC" w14:textId="77777777" w:rsidR="000A55AE" w:rsidRDefault="000A55AE" w:rsidP="000A55AE">
      <w:pPr>
        <w:pStyle w:val="BodyText"/>
        <w:spacing w:after="0"/>
        <w:rPr>
          <w:rStyle w:val="BodySubtitleChar"/>
        </w:rPr>
      </w:pPr>
    </w:p>
    <w:p w14:paraId="767F4ED0" w14:textId="0AD56846" w:rsidR="00C323DF" w:rsidRPr="004A3014" w:rsidRDefault="00FB1EB5" w:rsidP="000A55AE">
      <w:pPr>
        <w:pStyle w:val="BodyText"/>
        <w:spacing w:after="0"/>
      </w:pPr>
      <w:r w:rsidRPr="00904E61">
        <w:rPr>
          <w:rStyle w:val="BodySubtitleChar"/>
        </w:rPr>
        <w:t>Other Incom</w:t>
      </w:r>
      <w:r w:rsidR="00C323DF" w:rsidRPr="00904E61">
        <w:rPr>
          <w:rStyle w:val="BodySubtitleChar"/>
        </w:rPr>
        <w:t>e</w:t>
      </w:r>
      <w:r w:rsidR="00904E61" w:rsidRPr="00904E61">
        <w:rPr>
          <w:rStyle w:val="BodySubtitleChar"/>
        </w:rPr>
        <w:t xml:space="preserve"> (Expense)</w:t>
      </w:r>
    </w:p>
    <w:p w14:paraId="7FEB73F5" w14:textId="77777777" w:rsidR="000A55AE" w:rsidRDefault="000A55AE" w:rsidP="000A55AE">
      <w:pPr>
        <w:pStyle w:val="BodyText"/>
        <w:spacing w:after="0"/>
      </w:pPr>
      <w:bookmarkStart w:id="20" w:name="_Hlk511146650"/>
      <w:bookmarkStart w:id="21" w:name="_Toc197922411"/>
    </w:p>
    <w:p w14:paraId="60E6360A" w14:textId="0883F3F7" w:rsidR="0014178D" w:rsidRDefault="005C6958" w:rsidP="000A55AE">
      <w:pPr>
        <w:pStyle w:val="BodyText"/>
        <w:spacing w:after="0"/>
      </w:pPr>
      <w:r w:rsidRPr="00F11B56">
        <w:lastRenderedPageBreak/>
        <w:t>Interest income</w:t>
      </w:r>
      <w:r w:rsidR="00644AFF" w:rsidRPr="00F11B56">
        <w:t xml:space="preserve"> for the three-</w:t>
      </w:r>
      <w:r w:rsidRPr="00F11B56">
        <w:t xml:space="preserve">month periods ended </w:t>
      </w:r>
      <w:r w:rsidR="006B43ED" w:rsidRPr="00F11B56">
        <w:t>March 31</w:t>
      </w:r>
      <w:r w:rsidRPr="00F11B56">
        <w:t>,</w:t>
      </w:r>
      <w:r w:rsidR="006B43ED" w:rsidRPr="00F11B56">
        <w:t xml:space="preserve"> 20</w:t>
      </w:r>
      <w:r w:rsidR="0050175E">
        <w:t>20</w:t>
      </w:r>
      <w:r w:rsidR="006B43ED" w:rsidRPr="00F11B56">
        <w:t xml:space="preserve"> and</w:t>
      </w:r>
      <w:r w:rsidRPr="00F11B56">
        <w:t xml:space="preserve"> 201</w:t>
      </w:r>
      <w:r w:rsidR="0050175E">
        <w:t>9</w:t>
      </w:r>
      <w:r w:rsidRPr="00F11B56">
        <w:t xml:space="preserve"> was $</w:t>
      </w:r>
      <w:r w:rsidR="0050175E">
        <w:t>752</w:t>
      </w:r>
      <w:r w:rsidR="006A4A4B" w:rsidRPr="00F11B56">
        <w:t xml:space="preserve"> and $</w:t>
      </w:r>
      <w:r w:rsidR="00AC47F0">
        <w:t>1,</w:t>
      </w:r>
      <w:r w:rsidR="0050175E">
        <w:t>224</w:t>
      </w:r>
      <w:r w:rsidR="006B43ED" w:rsidRPr="00F11B56">
        <w:t>, respectively</w:t>
      </w:r>
      <w:bookmarkEnd w:id="20"/>
      <w:r w:rsidR="006B43ED" w:rsidRPr="00F11B56">
        <w:t xml:space="preserve">. </w:t>
      </w:r>
      <w:r w:rsidRPr="00F11B56">
        <w:t>The</w:t>
      </w:r>
      <w:r w:rsidRPr="001C6303">
        <w:t xml:space="preserve"> variances between periods are</w:t>
      </w:r>
      <w:r>
        <w:t xml:space="preserve"> primarily</w:t>
      </w:r>
      <w:r w:rsidRPr="001C6303">
        <w:t xml:space="preserve"> attributable to </w:t>
      </w:r>
      <w:r>
        <w:t>cash available for investment and interest rate fluctuations.</w:t>
      </w:r>
      <w:r w:rsidR="00904E61" w:rsidRPr="00904E61">
        <w:t xml:space="preserve"> </w:t>
      </w:r>
      <w:r w:rsidR="00904E61">
        <w:t>Interest expense for the three-</w:t>
      </w:r>
      <w:r w:rsidR="00904E61" w:rsidRPr="00184417">
        <w:t>mont</w:t>
      </w:r>
      <w:r w:rsidR="00904E61">
        <w:t>h</w:t>
      </w:r>
      <w:r w:rsidR="00904E61" w:rsidRPr="00184417">
        <w:t xml:space="preserve"> </w:t>
      </w:r>
      <w:r w:rsidR="00904E61">
        <w:t xml:space="preserve">periods </w:t>
      </w:r>
      <w:r w:rsidR="00904E61" w:rsidRPr="00184417">
        <w:t xml:space="preserve">ended </w:t>
      </w:r>
      <w:r w:rsidR="00904E61">
        <w:t>March 31, 20</w:t>
      </w:r>
      <w:r w:rsidR="0050175E">
        <w:t>20</w:t>
      </w:r>
      <w:r w:rsidR="00904E61">
        <w:t xml:space="preserve"> and 201</w:t>
      </w:r>
      <w:r w:rsidR="0050175E">
        <w:t>9</w:t>
      </w:r>
      <w:r w:rsidR="00904E61" w:rsidRPr="00184417">
        <w:t xml:space="preserve"> </w:t>
      </w:r>
      <w:r w:rsidR="00904E61" w:rsidRPr="00904E61">
        <w:t>was $</w:t>
      </w:r>
      <w:r w:rsidR="0050175E">
        <w:t>1,142</w:t>
      </w:r>
      <w:r w:rsidR="00904E61" w:rsidRPr="00904E61">
        <w:t xml:space="preserve"> and $</w:t>
      </w:r>
      <w:r w:rsidR="0050175E">
        <w:t>1,128</w:t>
      </w:r>
      <w:r w:rsidR="00904E61">
        <w:t>, respectively</w:t>
      </w:r>
      <w:r w:rsidR="005503FC">
        <w:t>, related to the GRA Note and financing costs associated with insurance premiums.</w:t>
      </w:r>
    </w:p>
    <w:p w14:paraId="6E128900" w14:textId="77777777" w:rsidR="000A55AE" w:rsidRDefault="000A55AE" w:rsidP="000A55AE">
      <w:pPr>
        <w:pStyle w:val="Heading2"/>
        <w:numPr>
          <w:ilvl w:val="0"/>
          <w:numId w:val="0"/>
        </w:numPr>
        <w:tabs>
          <w:tab w:val="left" w:pos="1080"/>
        </w:tabs>
        <w:spacing w:after="0"/>
        <w:rPr>
          <w:u w:val="none"/>
        </w:rPr>
      </w:pPr>
    </w:p>
    <w:p w14:paraId="4067366E" w14:textId="06CC7E36" w:rsidR="00182CF3" w:rsidRPr="001C6303" w:rsidRDefault="0054260E" w:rsidP="000A55AE">
      <w:pPr>
        <w:pStyle w:val="Heading2"/>
        <w:numPr>
          <w:ilvl w:val="0"/>
          <w:numId w:val="0"/>
        </w:numPr>
        <w:tabs>
          <w:tab w:val="left" w:pos="1080"/>
        </w:tabs>
        <w:spacing w:after="0"/>
      </w:pPr>
      <w:r w:rsidRPr="001C6303">
        <w:rPr>
          <w:u w:val="none"/>
        </w:rPr>
        <w:t>Item 3</w:t>
      </w:r>
      <w:r w:rsidRPr="001C6303">
        <w:rPr>
          <w:u w:val="none"/>
        </w:rPr>
        <w:tab/>
      </w:r>
      <w:r w:rsidR="0035003D" w:rsidRPr="001C6303">
        <w:t>Quantitative and Qualitative Disclosures About Market Risk</w:t>
      </w:r>
      <w:bookmarkEnd w:id="21"/>
    </w:p>
    <w:p w14:paraId="2ABA84AD" w14:textId="77777777" w:rsidR="000A55AE" w:rsidRDefault="000A55AE" w:rsidP="000A55AE">
      <w:pPr>
        <w:pStyle w:val="BodyText"/>
        <w:spacing w:after="0"/>
        <w:rPr>
          <w:rFonts w:eastAsia="????"/>
        </w:rPr>
      </w:pPr>
    </w:p>
    <w:p w14:paraId="52A0009D" w14:textId="18DE4EBC" w:rsidR="0035003D" w:rsidRDefault="00535ED7" w:rsidP="000A55AE">
      <w:pPr>
        <w:pStyle w:val="BodyText"/>
        <w:spacing w:after="0"/>
        <w:rPr>
          <w:rFonts w:eastAsia="????"/>
        </w:rPr>
      </w:pPr>
      <w:r>
        <w:rPr>
          <w:rFonts w:eastAsia="????"/>
        </w:rPr>
        <w:t>Not applicable.</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22" w:name="_Toc197922412"/>
      <w:r w:rsidRPr="001C6303">
        <w:rPr>
          <w:u w:val="none"/>
        </w:rPr>
        <w:t>Item 4</w:t>
      </w:r>
      <w:r w:rsidRPr="001C6303">
        <w:rPr>
          <w:u w:val="none"/>
        </w:rPr>
        <w:tab/>
      </w:r>
      <w:r w:rsidR="00BD6BBE" w:rsidRPr="001C6303">
        <w:t>Controls and Procedures</w:t>
      </w:r>
      <w:bookmarkEnd w:id="22"/>
    </w:p>
    <w:p w14:paraId="5A74D2A9" w14:textId="77777777"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2CCB5E82"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6E463B6D" w:rsidR="00A920D8" w:rsidRPr="001C6303"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and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Securities and Exchange Commission</w:t>
      </w:r>
      <w:r w:rsidR="00B44A4C" w:rsidRPr="001C6303">
        <w:t>’</w:t>
      </w:r>
      <w:r w:rsidRPr="001C6303">
        <w:t>s rules and forms.</w:t>
      </w:r>
    </w:p>
    <w:p w14:paraId="1A08A156" w14:textId="77777777" w:rsidR="000A55AE" w:rsidRDefault="000A55AE" w:rsidP="000A55AE">
      <w:pPr>
        <w:pStyle w:val="BodySubtitle"/>
      </w:pPr>
    </w:p>
    <w:p w14:paraId="711FE6CA" w14:textId="60904735" w:rsidR="00757775" w:rsidRPr="001C6303" w:rsidRDefault="00A920D8" w:rsidP="000A55AE">
      <w:pPr>
        <w:pStyle w:val="BodySubtitle"/>
      </w:pPr>
      <w:r w:rsidRPr="001C6303">
        <w:t>Changes in internal control over financial reporting</w:t>
      </w:r>
    </w:p>
    <w:p w14:paraId="2E8C2952" w14:textId="77777777" w:rsidR="000A55AE" w:rsidRDefault="000A55AE" w:rsidP="000A55AE">
      <w:pPr>
        <w:pStyle w:val="BodyText"/>
        <w:spacing w:after="0"/>
      </w:pPr>
    </w:p>
    <w:p w14:paraId="23F3D99E" w14:textId="6AD84041" w:rsidR="00EB48EF" w:rsidRDefault="00143716" w:rsidP="000A55AE">
      <w:pPr>
        <w:pStyle w:val="BodyText"/>
        <w:spacing w:after="0"/>
      </w:pPr>
      <w:r w:rsidRPr="001C6303">
        <w:t xml:space="preserve">There was no change in our internal control over financial reporting that occurred during the </w:t>
      </w:r>
      <w:r w:rsidR="00A920D8" w:rsidRPr="001C6303">
        <w:t xml:space="preserve">three months ended </w:t>
      </w:r>
      <w:r w:rsidR="006B43ED">
        <w:t>March</w:t>
      </w:r>
      <w:r w:rsidR="00644AFF">
        <w:t> </w:t>
      </w:r>
      <w:r w:rsidR="006B43ED">
        <w:t>31, 20</w:t>
      </w:r>
      <w:r w:rsidR="00717940">
        <w:t>20</w:t>
      </w:r>
      <w:r w:rsidR="000D595F">
        <w:t xml:space="preserve"> </w:t>
      </w:r>
      <w:r w:rsidRPr="001C6303">
        <w:t>that has materially affected, or is reasonably likely to materially affect, our internal c</w:t>
      </w:r>
      <w:bookmarkStart w:id="23" w:name="_Toc197922413"/>
      <w:r w:rsidR="002D75EF">
        <w:t>ontrol over financial reporting.</w:t>
      </w:r>
    </w:p>
    <w:p w14:paraId="65D403B1" w14:textId="39F8DFEE" w:rsidR="00F63074" w:rsidRDefault="00F63074" w:rsidP="000A55AE">
      <w:pPr>
        <w:pStyle w:val="Heading1"/>
        <w:numPr>
          <w:ilvl w:val="0"/>
          <w:numId w:val="0"/>
        </w:numPr>
        <w:jc w:val="left"/>
      </w:pPr>
    </w:p>
    <w:p w14:paraId="1BB38AF9" w14:textId="782556E3" w:rsidR="006F2532" w:rsidRPr="00374DEE" w:rsidRDefault="006F2532" w:rsidP="006F2532">
      <w:pPr>
        <w:rPr>
          <w:i/>
        </w:rPr>
      </w:pPr>
      <w:r w:rsidRPr="00374DEE">
        <w:rPr>
          <w:i/>
        </w:rPr>
        <w:t>Limitations on Controls</w:t>
      </w:r>
    </w:p>
    <w:p w14:paraId="4B834CB5" w14:textId="07229A8B" w:rsidR="006F2532" w:rsidRDefault="006F2532" w:rsidP="006F2532"/>
    <w:p w14:paraId="1F197BC5" w14:textId="77777777" w:rsidR="00374DEE" w:rsidRPr="00024863" w:rsidRDefault="00374DEE" w:rsidP="00374DEE">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558F715B" w14:textId="77777777" w:rsidR="006F2532" w:rsidRDefault="006F2532" w:rsidP="006F2532"/>
    <w:p w14:paraId="2F9AE5FA" w14:textId="6475620A" w:rsidR="006F2532" w:rsidRDefault="006F2532" w:rsidP="006F2532"/>
    <w:p w14:paraId="063EF8A5" w14:textId="77777777" w:rsidR="006F2532" w:rsidRPr="00374DEE" w:rsidRDefault="006F2532" w:rsidP="00DB3B22"/>
    <w:p w14:paraId="4AEAAD1D" w14:textId="77777777" w:rsidR="00D9086D" w:rsidRPr="00D9086D" w:rsidRDefault="00D9086D" w:rsidP="000A55AE"/>
    <w:p w14:paraId="64568158" w14:textId="77777777" w:rsidR="00AC47F0" w:rsidRDefault="00AC47F0">
      <w:pPr>
        <w:rPr>
          <w:b/>
        </w:rPr>
      </w:pPr>
      <w:r>
        <w:br w:type="page"/>
      </w:r>
    </w:p>
    <w:p w14:paraId="5CF04708" w14:textId="255FB95A" w:rsidR="00BD6BBE" w:rsidRDefault="004E3374" w:rsidP="000A55AE">
      <w:pPr>
        <w:pStyle w:val="Heading1"/>
        <w:numPr>
          <w:ilvl w:val="0"/>
          <w:numId w:val="0"/>
        </w:numPr>
      </w:pPr>
      <w:r>
        <w:lastRenderedPageBreak/>
        <w:t>PART</w:t>
      </w:r>
      <w:r w:rsidR="002D50D9">
        <w:t xml:space="preserve"> II -- </w:t>
      </w:r>
      <w:r w:rsidR="00BD6BBE" w:rsidRPr="001C6303">
        <w:t>OTHER INFORMATION</w:t>
      </w:r>
      <w:bookmarkEnd w:id="23"/>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24" w:name="_Toc197922414"/>
      <w:r w:rsidRPr="001C6303">
        <w:t>Legal Proceedings</w:t>
      </w:r>
      <w:bookmarkEnd w:id="24"/>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25" w:name="_Toc197922415"/>
      <w:r w:rsidRPr="001C6303">
        <w:t>Risk Factors</w:t>
      </w:r>
      <w:bookmarkEnd w:id="25"/>
    </w:p>
    <w:p w14:paraId="2421EF43" w14:textId="77777777" w:rsidR="000A55AE" w:rsidRDefault="000A55AE" w:rsidP="000A55AE">
      <w:pPr>
        <w:pStyle w:val="BodyText"/>
        <w:spacing w:after="0"/>
      </w:pPr>
    </w:p>
    <w:p w14:paraId="11082EF5" w14:textId="371462E0" w:rsidR="00906109" w:rsidRDefault="00906109" w:rsidP="000A55AE">
      <w:pPr>
        <w:pStyle w:val="BodyText"/>
        <w:spacing w:after="0"/>
      </w:pPr>
      <w:r w:rsidRPr="001C6303">
        <w:t xml:space="preserve">For information regarding factors that could affect our results of operations, financial condition or liquidity, see the risk factors discussed under </w:t>
      </w:r>
      <w:r w:rsidR="00B44A4C" w:rsidRPr="001C6303">
        <w:t>“</w:t>
      </w:r>
      <w:r w:rsidR="007F5D4D" w:rsidRPr="001C6303">
        <w:t>Risk Factors</w:t>
      </w:r>
      <w:r w:rsidR="00B44A4C" w:rsidRPr="001C6303">
        <w:t>”</w:t>
      </w:r>
      <w:r w:rsidRPr="001C6303">
        <w:t xml:space="preserve"> in Item </w:t>
      </w:r>
      <w:r w:rsidR="007F5D4D" w:rsidRPr="001C6303">
        <w:t>1A</w:t>
      </w:r>
      <w:r w:rsidRPr="001C6303">
        <w:t xml:space="preserve"> of our most rece</w:t>
      </w:r>
      <w:r w:rsidR="00815F96">
        <w:t xml:space="preserve">nt Annual Report on Form 10-K. </w:t>
      </w:r>
      <w:r w:rsidRPr="001C6303">
        <w:t xml:space="preserve">See also </w:t>
      </w:r>
      <w:r w:rsidR="00B44A4C" w:rsidRPr="001C6303">
        <w:t>“</w:t>
      </w:r>
      <w:r w:rsidRPr="001C6303">
        <w:t>Forward-Looking Statements,</w:t>
      </w:r>
      <w:r w:rsidR="00B44A4C" w:rsidRPr="001C6303">
        <w:t>”</w:t>
      </w:r>
      <w:r w:rsidRPr="001C6303">
        <w:t xml:space="preserve"> included in Item 2 of this </w:t>
      </w:r>
      <w:r w:rsidR="00815F96">
        <w:t xml:space="preserve">Quarterly Report on Form 10-Q. </w:t>
      </w:r>
      <w:r w:rsidRPr="001C6303">
        <w:t>There have been no material changes from the risk factors previously disclosed in our most recent Annual Report on Form 10-K.</w:t>
      </w:r>
      <w:r w:rsidR="00B15B2D" w:rsidRPr="001C6303">
        <w:t xml:space="preserve"> </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26" w:name="_Toc197922416"/>
      <w:r w:rsidRPr="001C6303">
        <w:t>Unregistered Sale</w:t>
      </w:r>
      <w:r w:rsidR="00A63414" w:rsidRPr="001C6303">
        <w:t>s</w:t>
      </w:r>
      <w:r w:rsidRPr="001C6303">
        <w:t xml:space="preserve"> of Equity Securities and Use of Proceeds</w:t>
      </w:r>
      <w:bookmarkEnd w:id="26"/>
    </w:p>
    <w:p w14:paraId="12D60E19" w14:textId="77777777" w:rsidR="000A55AE" w:rsidRDefault="000A55AE" w:rsidP="000A55AE">
      <w:pPr>
        <w:pStyle w:val="BodyText"/>
        <w:spacing w:after="0"/>
      </w:pPr>
      <w:bookmarkStart w:id="27" w:name="_Toc197922417"/>
    </w:p>
    <w:p w14:paraId="0F4A682D" w14:textId="44E4A68B" w:rsidR="0091095B" w:rsidRDefault="007B503B" w:rsidP="000A55AE">
      <w:pPr>
        <w:pStyle w:val="BodyText"/>
        <w:spacing w:after="0"/>
      </w:pPr>
      <w:r w:rsidRPr="00E8377F">
        <w:t>None</w:t>
      </w:r>
      <w:r w:rsidR="00106E6F" w:rsidRPr="00E8377F">
        <w:t xml:space="preserve"> not previously disclosed on Form 8-K.</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27"/>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72069955" w:rsidR="00F44C3F" w:rsidRDefault="000D4A4B" w:rsidP="000A55AE">
      <w:r>
        <w:t>Not applicable</w:t>
      </w:r>
    </w:p>
    <w:p w14:paraId="1027084F" w14:textId="77777777" w:rsidR="000A55AE" w:rsidRDefault="000A55AE" w:rsidP="000A55AE"/>
    <w:p w14:paraId="189BAF65" w14:textId="77777777" w:rsidR="00025C72" w:rsidRPr="001C6303" w:rsidRDefault="00C07C60" w:rsidP="000A55AE">
      <w:pPr>
        <w:pStyle w:val="Heading2"/>
        <w:spacing w:after="0"/>
      </w:pPr>
      <w:bookmarkStart w:id="28" w:name="_Toc197922419"/>
      <w:r>
        <w:t>Other Information</w:t>
      </w:r>
      <w:r w:rsidR="00025C72" w:rsidRPr="001C6303">
        <w:t xml:space="preserve"> </w:t>
      </w:r>
    </w:p>
    <w:p w14:paraId="72A27140" w14:textId="77777777" w:rsidR="000A55AE" w:rsidRDefault="000A55AE" w:rsidP="000A55AE"/>
    <w:p w14:paraId="27A46366" w14:textId="51E5A973" w:rsidR="00A17B7E" w:rsidRDefault="003467A5" w:rsidP="000A55AE">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28"/>
    </w:p>
    <w:p w14:paraId="0D468E33" w14:textId="77777777" w:rsidR="000A55AE" w:rsidRDefault="000A55AE" w:rsidP="000A55AE"/>
    <w:p w14:paraId="03262319" w14:textId="77777777" w:rsidR="00B706C8" w:rsidRDefault="00B706C8">
      <w:pPr>
        <w:rPr>
          <w:b/>
        </w:rPr>
      </w:pPr>
      <w:bookmarkStart w:id="29" w:name="_Toc197922420"/>
      <w:r>
        <w:br w:type="page"/>
      </w:r>
    </w:p>
    <w:p w14:paraId="3B899785" w14:textId="157DC30E" w:rsidR="00717940" w:rsidRDefault="005E7A32" w:rsidP="00742E05">
      <w:pPr>
        <w:pStyle w:val="Heading2"/>
        <w:numPr>
          <w:ilvl w:val="0"/>
          <w:numId w:val="0"/>
        </w:numPr>
        <w:tabs>
          <w:tab w:val="left" w:pos="1000"/>
        </w:tabs>
        <w:spacing w:after="0"/>
      </w:pPr>
      <w:r w:rsidRPr="001C6303">
        <w:rPr>
          <w:u w:val="none"/>
        </w:rPr>
        <w:lastRenderedPageBreak/>
        <w:t>Item 6</w:t>
      </w:r>
      <w:r w:rsidRPr="001C6303">
        <w:rPr>
          <w:u w:val="none"/>
        </w:rPr>
        <w:tab/>
      </w:r>
      <w:r w:rsidR="00BD6BBE" w:rsidRPr="001C6303">
        <w:t>Exhibits</w:t>
      </w:r>
      <w:bookmarkEnd w:id="29"/>
    </w:p>
    <w:p w14:paraId="14B0B89F" w14:textId="77777777" w:rsidR="00742E05" w:rsidRPr="00742E05" w:rsidRDefault="00742E05"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717940">
      <w:pPr>
        <w:keepNext/>
        <w:tabs>
          <w:tab w:val="left" w:pos="900"/>
        </w:tabs>
        <w:spacing w:after="60"/>
        <w:rPr>
          <w:u w:val="single"/>
        </w:rPr>
      </w:pPr>
      <w:r w:rsidRPr="001C6303">
        <w:rPr>
          <w:u w:val="single"/>
        </w:rPr>
        <w:t>Number</w:t>
      </w:r>
      <w:r w:rsidRPr="001C6303">
        <w:tab/>
      </w:r>
      <w:r w:rsidRPr="001C6303">
        <w:rPr>
          <w:u w:val="single"/>
        </w:rPr>
        <w:t>Description</w:t>
      </w:r>
    </w:p>
    <w:p w14:paraId="0EB056D1" w14:textId="1FCD6408" w:rsidR="00277C53" w:rsidRDefault="00277C53" w:rsidP="00742E05">
      <w:pPr>
        <w:ind w:left="990" w:hanging="990"/>
        <w:rPr>
          <w:bCs/>
        </w:rPr>
      </w:pPr>
      <w:r>
        <w:rPr>
          <w:bCs/>
        </w:rPr>
        <w:t>3.1</w:t>
      </w:r>
      <w:r>
        <w:rPr>
          <w:bCs/>
        </w:rPr>
        <w:tab/>
      </w:r>
      <w:hyperlink r:id="rId22" w:history="1">
        <w:r w:rsidRPr="00B00B21">
          <w:rPr>
            <w:rStyle w:val="Hyperlink"/>
            <w:bCs/>
          </w:rPr>
          <w:t>Certificate of Amendment to the Certificate of Incorporation of GeoVax Labs, Inc. filed January 21, 2020 (</w:t>
        </w:r>
        <w:r>
          <w:rPr>
            <w:rStyle w:val="Hyperlink"/>
            <w:bCs/>
          </w:rPr>
          <w:t>1</w:t>
        </w:r>
        <w:r w:rsidRPr="00B00B21">
          <w:rPr>
            <w:rStyle w:val="Hyperlink"/>
            <w:bCs/>
          </w:rPr>
          <w:t>)</w:t>
        </w:r>
      </w:hyperlink>
    </w:p>
    <w:p w14:paraId="1CF2AA43" w14:textId="77C6E06D" w:rsidR="00277C53" w:rsidRDefault="00277C53" w:rsidP="00742E05">
      <w:pPr>
        <w:ind w:left="990" w:hanging="990"/>
        <w:rPr>
          <w:bCs/>
        </w:rPr>
      </w:pPr>
      <w:r>
        <w:rPr>
          <w:bCs/>
        </w:rPr>
        <w:t>4.1</w:t>
      </w:r>
      <w:r>
        <w:rPr>
          <w:bCs/>
        </w:rPr>
        <w:tab/>
      </w:r>
      <w:hyperlink r:id="rId23" w:history="1">
        <w:r w:rsidRPr="00B00B21">
          <w:rPr>
            <w:rStyle w:val="Hyperlink"/>
            <w:bCs/>
          </w:rPr>
          <w:t>Form of Stock Certificate represent</w:t>
        </w:r>
        <w:r>
          <w:rPr>
            <w:rStyle w:val="Hyperlink"/>
            <w:bCs/>
          </w:rPr>
          <w:t>ing</w:t>
        </w:r>
        <w:r w:rsidRPr="00B00B21">
          <w:rPr>
            <w:rStyle w:val="Hyperlink"/>
            <w:bCs/>
          </w:rPr>
          <w:t xml:space="preserve"> the Company’s Common Stock, par value $0.001 per share (</w:t>
        </w:r>
        <w:r>
          <w:rPr>
            <w:rStyle w:val="Hyperlink"/>
            <w:bCs/>
          </w:rPr>
          <w:t>1</w:t>
        </w:r>
        <w:r w:rsidRPr="00B00B21">
          <w:rPr>
            <w:rStyle w:val="Hyperlink"/>
            <w:bCs/>
          </w:rPr>
          <w:t>)</w:t>
        </w:r>
      </w:hyperlink>
    </w:p>
    <w:p w14:paraId="1D1E1370" w14:textId="682BFFCF" w:rsidR="00277C53" w:rsidRDefault="00277C53" w:rsidP="00742E05">
      <w:pPr>
        <w:ind w:left="990" w:hanging="990"/>
        <w:rPr>
          <w:bCs/>
        </w:rPr>
      </w:pPr>
      <w:r>
        <w:rPr>
          <w:bCs/>
        </w:rPr>
        <w:t>4.</w:t>
      </w:r>
      <w:r w:rsidR="00742E05">
        <w:rPr>
          <w:bCs/>
        </w:rPr>
        <w:t>2</w:t>
      </w:r>
      <w:r>
        <w:rPr>
          <w:bCs/>
        </w:rPr>
        <w:tab/>
      </w:r>
      <w:hyperlink r:id="rId24" w:history="1">
        <w:r w:rsidRPr="00B00B21">
          <w:rPr>
            <w:rStyle w:val="Hyperlink"/>
            <w:bCs/>
          </w:rPr>
          <w:t>Form of Stock Certificate for the Series J Convertible Preferred Stock (</w:t>
        </w:r>
        <w:r>
          <w:rPr>
            <w:rStyle w:val="Hyperlink"/>
            <w:bCs/>
          </w:rPr>
          <w:t>2</w:t>
        </w:r>
        <w:r w:rsidRPr="00B00B21">
          <w:rPr>
            <w:rStyle w:val="Hyperlink"/>
            <w:bCs/>
          </w:rPr>
          <w:t>)</w:t>
        </w:r>
      </w:hyperlink>
    </w:p>
    <w:p w14:paraId="344FA035" w14:textId="058478B0" w:rsidR="00277C53" w:rsidRDefault="00277C53" w:rsidP="00742E05">
      <w:pPr>
        <w:ind w:left="990" w:hanging="990"/>
      </w:pPr>
      <w:r>
        <w:t>10.</w:t>
      </w:r>
      <w:r w:rsidR="00742E05">
        <w:t>1</w:t>
      </w:r>
      <w:r w:rsidRPr="003434EE">
        <w:tab/>
      </w:r>
      <w:hyperlink r:id="rId25" w:history="1">
        <w:r w:rsidRPr="00742E05">
          <w:rPr>
            <w:rStyle w:val="Hyperlink"/>
            <w:bCs/>
          </w:rPr>
          <w:t>Office and Laboratory Lease between UCB, Inc. and GeoVax, Inc. (3)</w:t>
        </w:r>
      </w:hyperlink>
    </w:p>
    <w:p w14:paraId="4394E6F4" w14:textId="752777C7" w:rsidR="00277C53" w:rsidRDefault="00277C53" w:rsidP="00742E05">
      <w:pPr>
        <w:ind w:left="990" w:hanging="990"/>
        <w:rPr>
          <w:bCs/>
        </w:rPr>
      </w:pPr>
      <w:r>
        <w:rPr>
          <w:bCs/>
        </w:rPr>
        <w:t>10.</w:t>
      </w:r>
      <w:r w:rsidR="00742E05">
        <w:rPr>
          <w:bCs/>
        </w:rPr>
        <w:t>2</w:t>
      </w:r>
      <w:r>
        <w:rPr>
          <w:bCs/>
        </w:rPr>
        <w:tab/>
      </w:r>
      <w:hyperlink r:id="rId26" w:history="1">
        <w:r w:rsidRPr="00B00B21">
          <w:rPr>
            <w:rStyle w:val="Hyperlink"/>
            <w:bCs/>
          </w:rPr>
          <w:t>Form of Securities Purchase Agreement dated January 24, 2020 (</w:t>
        </w:r>
        <w:r>
          <w:rPr>
            <w:rStyle w:val="Hyperlink"/>
            <w:bCs/>
          </w:rPr>
          <w:t>2</w:t>
        </w:r>
        <w:r w:rsidRPr="00B00B21">
          <w:rPr>
            <w:rStyle w:val="Hyperlink"/>
            <w:bCs/>
          </w:rPr>
          <w:t>)</w:t>
        </w:r>
      </w:hyperlink>
    </w:p>
    <w:p w14:paraId="0BDCDE00" w14:textId="701EEE86" w:rsidR="00074805" w:rsidRDefault="00074805" w:rsidP="00742E05">
      <w:pPr>
        <w:ind w:left="990" w:hanging="990"/>
      </w:pPr>
      <w:r>
        <w:t>10.3</w:t>
      </w:r>
      <w:r>
        <w:tab/>
      </w:r>
      <w:hyperlink r:id="rId27" w:history="1">
        <w:r w:rsidRPr="00B936FD">
          <w:rPr>
            <w:rStyle w:val="Hyperlink"/>
          </w:rPr>
          <w:t>Form of Note dated April 17, 2020 (4)</w:t>
        </w:r>
      </w:hyperlink>
    </w:p>
    <w:p w14:paraId="769D58A4" w14:textId="3ECAF9C5" w:rsidR="00717940" w:rsidRPr="001C6303" w:rsidRDefault="00717940" w:rsidP="00742E05">
      <w:pPr>
        <w:ind w:left="990" w:hanging="990"/>
      </w:pPr>
      <w:r w:rsidRPr="001C6303">
        <w:t>31.1*</w:t>
      </w:r>
      <w:r w:rsidRPr="001C6303">
        <w:tab/>
        <w:t xml:space="preserve">Certification pursuant to Rule 13a-14(a) or 15d-14(a) of the Securities Exchange Act of 1934 </w:t>
      </w:r>
    </w:p>
    <w:p w14:paraId="0D5E8471" w14:textId="77777777" w:rsidR="00717940" w:rsidRPr="001C6303" w:rsidRDefault="00717940" w:rsidP="00742E05">
      <w:pPr>
        <w:ind w:left="990" w:hanging="990"/>
      </w:pPr>
      <w:r w:rsidRPr="001C6303">
        <w:t>31.2*</w:t>
      </w:r>
      <w:r w:rsidRPr="001C6303">
        <w:tab/>
        <w:t xml:space="preserve">Certification pursuant to Rule 13a-14(a) or 15d-14(a) of the Securities Exchange Act of 1934 </w:t>
      </w:r>
    </w:p>
    <w:p w14:paraId="7E0B9613" w14:textId="77777777" w:rsidR="00717940" w:rsidRPr="001C6303" w:rsidRDefault="00717940" w:rsidP="00742E05">
      <w:pPr>
        <w:ind w:left="990" w:hanging="99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742E05">
      <w:pPr>
        <w:tabs>
          <w:tab w:val="left" w:pos="1080"/>
          <w:tab w:val="left" w:pos="2340"/>
          <w:tab w:val="left" w:pos="3600"/>
          <w:tab w:val="left" w:pos="7920"/>
        </w:tabs>
        <w:ind w:left="990" w:hanging="990"/>
      </w:pPr>
      <w:r w:rsidRPr="001C6303">
        <w:t>32.2*</w:t>
      </w:r>
      <w:r w:rsidRPr="001C6303">
        <w:tab/>
        <w:t xml:space="preserve">Certification pursuant to 18 U.S.C. Section 1350, as adopted by Section 906 of the Sarbanes-Oxley Act of 2002 </w:t>
      </w:r>
    </w:p>
    <w:p w14:paraId="6B43401B" w14:textId="77777777" w:rsidR="00277C53" w:rsidRDefault="00277C53" w:rsidP="00742E05">
      <w:pPr>
        <w:ind w:left="990" w:hanging="990"/>
      </w:pPr>
      <w:r>
        <w:t>101.INS**</w:t>
      </w:r>
      <w:r>
        <w:tab/>
        <w:t>XBRL Instance Document</w:t>
      </w:r>
    </w:p>
    <w:p w14:paraId="0DFF493E" w14:textId="77777777" w:rsidR="00277C53" w:rsidRDefault="00277C53" w:rsidP="00742E05">
      <w:pPr>
        <w:ind w:left="990" w:hanging="990"/>
      </w:pPr>
      <w:r>
        <w:t>101.SCH**</w:t>
      </w:r>
      <w:r>
        <w:tab/>
        <w:t>XBRL Taxonomy Extension Schema Document</w:t>
      </w:r>
    </w:p>
    <w:p w14:paraId="15A985B3" w14:textId="77777777" w:rsidR="00277C53" w:rsidRDefault="00277C53" w:rsidP="00742E05">
      <w:pPr>
        <w:ind w:left="990" w:hanging="990"/>
      </w:pPr>
      <w:r>
        <w:t>101.CAL**</w:t>
      </w:r>
      <w:r>
        <w:tab/>
        <w:t>XBRL Taxonomy Extension Calculation Linkbase Document</w:t>
      </w:r>
    </w:p>
    <w:p w14:paraId="237AE405" w14:textId="77777777" w:rsidR="00277C53" w:rsidRDefault="00277C53" w:rsidP="00742E05">
      <w:pPr>
        <w:ind w:left="990" w:hanging="990"/>
      </w:pPr>
      <w:r>
        <w:t>101.DEF**</w:t>
      </w:r>
      <w:r>
        <w:tab/>
        <w:t>XBRL Taxonomy Extension Definition Linkbase Document</w:t>
      </w:r>
    </w:p>
    <w:p w14:paraId="3C8A4BF0" w14:textId="77777777" w:rsidR="00277C53" w:rsidRDefault="00277C53" w:rsidP="00742E05">
      <w:pPr>
        <w:ind w:left="990" w:hanging="990"/>
      </w:pPr>
      <w:r>
        <w:t>101.LAB**</w:t>
      </w:r>
      <w:r>
        <w:tab/>
        <w:t>XBRL Taxonomy Extension Label Linkbase Document</w:t>
      </w:r>
    </w:p>
    <w:p w14:paraId="209011E7" w14:textId="77777777" w:rsidR="00277C53" w:rsidRPr="001C6303" w:rsidRDefault="00277C53" w:rsidP="00742E05">
      <w:pPr>
        <w:ind w:left="990" w:hanging="990"/>
      </w:pPr>
      <w:r>
        <w:t>101.PRE**</w:t>
      </w:r>
      <w:r>
        <w:tab/>
        <w:t>XBRL Taxonomy Extension Presentation Linkbase Document</w:t>
      </w:r>
    </w:p>
    <w:p w14:paraId="2B7BC306" w14:textId="77777777" w:rsidR="00717940" w:rsidRDefault="00717940" w:rsidP="00717940"/>
    <w:p w14:paraId="45F577B3" w14:textId="77777777" w:rsidR="00717940" w:rsidRDefault="00717940" w:rsidP="00717940">
      <w:r>
        <w:t>_____________________</w:t>
      </w:r>
    </w:p>
    <w:p w14:paraId="74FDE28B" w14:textId="77777777" w:rsidR="00717940" w:rsidRDefault="00717940" w:rsidP="00717940">
      <w:r w:rsidRPr="001C6303">
        <w:t>*</w:t>
      </w:r>
      <w:r w:rsidRPr="001C6303">
        <w:tab/>
        <w:t>Filed herewith</w:t>
      </w:r>
    </w:p>
    <w:p w14:paraId="67B69AA3" w14:textId="062AF346" w:rsidR="00717940" w:rsidRDefault="00717940" w:rsidP="00742E05">
      <w:pPr>
        <w:ind w:left="720" w:hanging="720"/>
      </w:pPr>
      <w:r>
        <w:t>**</w:t>
      </w:r>
      <w:r>
        <w:tab/>
      </w:r>
      <w:r w:rsidR="00277C53">
        <w:t>XBRL (Extensible Business Reporting Language) information furnished hereto are deemed not filed or a part of a registration statement or prospectus for purposes of Sections 11 or 12 of the Securities Act of 1933, as amended, is deemed not filed for purposes of Section 18 of the Securities Exchange Act of 1934, as amended, and otherwise is not subject to liability under these sections.</w:t>
      </w:r>
    </w:p>
    <w:p w14:paraId="01DC92B6" w14:textId="55416CDA" w:rsidR="00277C53" w:rsidRDefault="00277C53" w:rsidP="00277C53">
      <w:r>
        <w:t>(1)</w:t>
      </w:r>
      <w:r>
        <w:tab/>
      </w:r>
      <w:r w:rsidRPr="00A92006">
        <w:t xml:space="preserve">Incorporated by reference from the registrant’s Current Report on Form 8-K filed </w:t>
      </w:r>
      <w:r>
        <w:t>January</w:t>
      </w:r>
      <w:r w:rsidRPr="00A92006">
        <w:t xml:space="preserve"> 2</w:t>
      </w:r>
      <w:r>
        <w:t>1</w:t>
      </w:r>
      <w:r w:rsidRPr="00A92006">
        <w:t>, 20</w:t>
      </w:r>
      <w:r>
        <w:t>20.</w:t>
      </w:r>
    </w:p>
    <w:p w14:paraId="05F4FD14" w14:textId="0D2CABDD" w:rsidR="00277C53" w:rsidRPr="00A92006" w:rsidRDefault="00277C53" w:rsidP="00277C53">
      <w:bookmarkStart w:id="30" w:name="_Hlk38036491"/>
      <w:r>
        <w:t>(2)</w:t>
      </w:r>
      <w:r>
        <w:tab/>
      </w:r>
      <w:r w:rsidRPr="00A92006">
        <w:t xml:space="preserve">Incorporated by reference from the registrant’s Current Report on Form 8-K filed </w:t>
      </w:r>
      <w:r>
        <w:t>January</w:t>
      </w:r>
      <w:r w:rsidRPr="00A92006">
        <w:t xml:space="preserve"> 2</w:t>
      </w:r>
      <w:r>
        <w:t>4</w:t>
      </w:r>
      <w:r w:rsidRPr="00A92006">
        <w:t>, 20</w:t>
      </w:r>
      <w:r>
        <w:t>20.</w:t>
      </w:r>
    </w:p>
    <w:bookmarkEnd w:id="30"/>
    <w:p w14:paraId="598FE840" w14:textId="6CE9C988" w:rsidR="00277C53" w:rsidRDefault="00277C53" w:rsidP="00277C53">
      <w:r>
        <w:t>(3)</w:t>
      </w:r>
      <w:r>
        <w:tab/>
      </w:r>
      <w:r w:rsidRPr="00A92006">
        <w:t xml:space="preserve">Incorporated by reference from the registrant’s </w:t>
      </w:r>
      <w:r>
        <w:t>Annual</w:t>
      </w:r>
      <w:r w:rsidRPr="00A92006">
        <w:t xml:space="preserve"> Report on Form </w:t>
      </w:r>
      <w:r>
        <w:t>10</w:t>
      </w:r>
      <w:r w:rsidRPr="00A92006">
        <w:t xml:space="preserve">-K filed </w:t>
      </w:r>
      <w:r>
        <w:t>March</w:t>
      </w:r>
      <w:r w:rsidRPr="00A92006">
        <w:t xml:space="preserve"> 2</w:t>
      </w:r>
      <w:r>
        <w:t>4</w:t>
      </w:r>
      <w:r w:rsidRPr="00A92006">
        <w:t>, 20</w:t>
      </w:r>
      <w:r>
        <w:t>20.</w:t>
      </w:r>
    </w:p>
    <w:p w14:paraId="2656C730" w14:textId="2DB951AC" w:rsidR="00717940" w:rsidRDefault="00074805" w:rsidP="000A55AE">
      <w:r>
        <w:t>(4)</w:t>
      </w:r>
      <w:r>
        <w:tab/>
      </w:r>
      <w:r w:rsidRPr="00A92006">
        <w:t xml:space="preserve">Incorporated by reference from the registrant’s Current Report on Form 8-K filed </w:t>
      </w:r>
      <w:r>
        <w:t>April</w:t>
      </w:r>
      <w:r w:rsidRPr="00A92006">
        <w:t xml:space="preserve"> 2</w:t>
      </w:r>
      <w:r>
        <w:t>0</w:t>
      </w:r>
      <w:r w:rsidRPr="00A92006">
        <w:t>, 20</w:t>
      </w:r>
      <w:r>
        <w:t>20.</w:t>
      </w:r>
    </w:p>
    <w:p w14:paraId="0CA1CF67" w14:textId="369E5D3D" w:rsidR="00717940" w:rsidRDefault="00717940" w:rsidP="000A55AE"/>
    <w:p w14:paraId="746BB730" w14:textId="77777777" w:rsidR="00717940" w:rsidRPr="001C6303" w:rsidRDefault="00717940" w:rsidP="000A55AE"/>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572FEE83" w:rsidR="00BD6BBE" w:rsidRPr="001C6303" w:rsidRDefault="005277CB">
      <w:pPr>
        <w:tabs>
          <w:tab w:val="left" w:pos="720"/>
          <w:tab w:val="left" w:pos="5400"/>
          <w:tab w:val="center" w:pos="7380"/>
        </w:tabs>
      </w:pPr>
      <w:r w:rsidRPr="001C6303">
        <w:t>Date:</w:t>
      </w:r>
      <w:r w:rsidRPr="001C6303">
        <w:tab/>
      </w:r>
      <w:r w:rsidR="006B43ED" w:rsidRPr="00CD5558">
        <w:t>May</w:t>
      </w:r>
      <w:r w:rsidR="00A17B7E" w:rsidRPr="00CD5558">
        <w:t xml:space="preserve"> </w:t>
      </w:r>
      <w:r w:rsidR="004A5874">
        <w:t>5</w:t>
      </w:r>
      <w:r w:rsidR="006B43ED" w:rsidRPr="00CD5558">
        <w:t>, 20</w:t>
      </w:r>
      <w:r w:rsidR="00717940">
        <w:t>20</w:t>
      </w:r>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(duly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28"/>
      <w:headerReference w:type="default" r:id="rId29"/>
      <w:footerReference w:type="even" r:id="rId30"/>
      <w:footerReference w:type="default" r:id="rId31"/>
      <w:headerReference w:type="first" r:id="rId32"/>
      <w:footerReference w:type="first" r:id="rId3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FCBE4" w14:textId="77777777" w:rsidR="0065681E" w:rsidRDefault="0065681E">
      <w:r>
        <w:separator/>
      </w:r>
    </w:p>
  </w:endnote>
  <w:endnote w:type="continuationSeparator" w:id="0">
    <w:p w14:paraId="7804C108" w14:textId="77777777" w:rsidR="0065681E" w:rsidRDefault="0065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5BA6" w14:textId="77777777" w:rsidR="0065681E" w:rsidRDefault="0065681E"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65681E" w:rsidRDefault="00656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9D819" w14:textId="77777777" w:rsidR="0065681E" w:rsidRDefault="0065681E">
    <w:pPr>
      <w:pStyle w:val="Footer"/>
      <w:framePr w:wrap="around" w:vAnchor="text" w:hAnchor="margin" w:xAlign="center" w:y="1"/>
      <w:rPr>
        <w:rStyle w:val="PageNumber"/>
      </w:rPr>
    </w:pPr>
  </w:p>
  <w:p w14:paraId="16540C0E" w14:textId="77777777" w:rsidR="0065681E" w:rsidRDefault="0065681E">
    <w:pPr>
      <w:pStyle w:val="Footer"/>
    </w:pPr>
  </w:p>
  <w:p w14:paraId="315F27D0" w14:textId="77777777" w:rsidR="0065681E" w:rsidRDefault="0065681E"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85014"/>
      <w:docPartObj>
        <w:docPartGallery w:val="Page Numbers (Bottom of Page)"/>
        <w:docPartUnique/>
      </w:docPartObj>
    </w:sdtPr>
    <w:sdtEndPr/>
    <w:sdtContent>
      <w:p w14:paraId="5B8BCD02" w14:textId="11F50AD3" w:rsidR="0065681E" w:rsidRDefault="0065681E">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65681E" w:rsidRDefault="0065681E"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9D917" w14:textId="77777777" w:rsidR="0065681E" w:rsidRDefault="0065681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65681E" w:rsidRDefault="0065681E">
    <w:pPr>
      <w:pStyle w:val="Footer"/>
    </w:pPr>
  </w:p>
  <w:p w14:paraId="6BB4EA6F" w14:textId="59A67343" w:rsidR="0065681E" w:rsidRDefault="00A85885" w:rsidP="003A5897">
    <w:pPr>
      <w:pStyle w:val="Footer"/>
    </w:pPr>
    <w:fldSimple w:instr=" DOCPROPERTY &quot;SWDocID&quot;  \* MERGEFORMAT ">
      <w:r w:rsidRPr="00A85885">
        <w:rPr>
          <w:sz w:val="18"/>
        </w:rPr>
        <w:t>WCSR  3894443v2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9B4E" w14:textId="46775AA8" w:rsidR="0065681E" w:rsidRDefault="0065681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65681E" w:rsidRDefault="0065681E">
    <w:pPr>
      <w:pStyle w:val="Footer"/>
    </w:pPr>
  </w:p>
  <w:p w14:paraId="54EF80D7" w14:textId="6CD9699D" w:rsidR="0065681E" w:rsidRDefault="00A85885" w:rsidP="003A5897">
    <w:pPr>
      <w:pStyle w:val="Footer"/>
    </w:pPr>
    <w:fldSimple w:instr=" DOCPROPERTY &quot;SWDocID&quot;  \* MERGEFORMAT ">
      <w:r w:rsidRPr="00A85885">
        <w:rPr>
          <w:sz w:val="18"/>
        </w:rPr>
        <w:t>WCSR  3894443v2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FFC3" w14:textId="77777777" w:rsidR="0065681E" w:rsidRDefault="0065681E">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65681E" w:rsidRDefault="0065681E">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8380" w14:textId="020428AA" w:rsidR="0065681E" w:rsidRDefault="0065681E">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65681E" w:rsidRDefault="006568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F82A3" w14:textId="77777777" w:rsidR="0065681E" w:rsidRDefault="0065681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8DBB" w14:textId="77777777" w:rsidR="0065681E" w:rsidRDefault="0065681E">
      <w:r>
        <w:separator/>
      </w:r>
    </w:p>
  </w:footnote>
  <w:footnote w:type="continuationSeparator" w:id="0">
    <w:p w14:paraId="055C4732" w14:textId="77777777" w:rsidR="0065681E" w:rsidRDefault="0065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D9308" w14:textId="77777777" w:rsidR="0065681E" w:rsidRDefault="006568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A9073" w14:textId="77777777" w:rsidR="0065681E" w:rsidRDefault="006568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39AD5" w14:textId="77777777" w:rsidR="0065681E" w:rsidRDefault="006568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A1C2D" w14:textId="77777777" w:rsidR="0065681E" w:rsidRDefault="00656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DF292" w14:textId="77777777" w:rsidR="0065681E" w:rsidRDefault="00656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37CC3" w14:textId="77777777" w:rsidR="0065681E" w:rsidRDefault="00656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8D29" w14:textId="77777777" w:rsidR="0065681E" w:rsidRDefault="006568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5D70" w14:textId="77777777" w:rsidR="0065681E" w:rsidRDefault="006568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04797" w14:textId="77777777" w:rsidR="0065681E" w:rsidRDefault="0065681E">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DB2FE" w14:textId="77777777" w:rsidR="0065681E" w:rsidRDefault="006568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E8AA9" w14:textId="77777777" w:rsidR="0065681E" w:rsidRDefault="006568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D3184" w14:textId="77777777" w:rsidR="0065681E" w:rsidRDefault="0065681E">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abstractNumId w:val="5"/>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US"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3127"/>
    <w:rsid w:val="000031AA"/>
    <w:rsid w:val="000034E0"/>
    <w:rsid w:val="00003985"/>
    <w:rsid w:val="000045A2"/>
    <w:rsid w:val="00004976"/>
    <w:rsid w:val="00006146"/>
    <w:rsid w:val="00006D2A"/>
    <w:rsid w:val="00010534"/>
    <w:rsid w:val="000108EF"/>
    <w:rsid w:val="00010CDD"/>
    <w:rsid w:val="00011002"/>
    <w:rsid w:val="00011BEF"/>
    <w:rsid w:val="00012345"/>
    <w:rsid w:val="000128C9"/>
    <w:rsid w:val="00012E6B"/>
    <w:rsid w:val="000162CE"/>
    <w:rsid w:val="00017A17"/>
    <w:rsid w:val="000206F1"/>
    <w:rsid w:val="00021A09"/>
    <w:rsid w:val="000237DB"/>
    <w:rsid w:val="0002455D"/>
    <w:rsid w:val="000251EA"/>
    <w:rsid w:val="000253FD"/>
    <w:rsid w:val="00025C72"/>
    <w:rsid w:val="00025E86"/>
    <w:rsid w:val="000267C2"/>
    <w:rsid w:val="000311C2"/>
    <w:rsid w:val="00031A17"/>
    <w:rsid w:val="0003218D"/>
    <w:rsid w:val="00032EFE"/>
    <w:rsid w:val="00033091"/>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76D"/>
    <w:rsid w:val="00072810"/>
    <w:rsid w:val="00074805"/>
    <w:rsid w:val="00075378"/>
    <w:rsid w:val="0007631A"/>
    <w:rsid w:val="00076ACC"/>
    <w:rsid w:val="00082209"/>
    <w:rsid w:val="0008274C"/>
    <w:rsid w:val="00085927"/>
    <w:rsid w:val="00086188"/>
    <w:rsid w:val="0008634B"/>
    <w:rsid w:val="00086A2F"/>
    <w:rsid w:val="000871E0"/>
    <w:rsid w:val="00087E6E"/>
    <w:rsid w:val="00087F53"/>
    <w:rsid w:val="00090FF4"/>
    <w:rsid w:val="00094012"/>
    <w:rsid w:val="0009462E"/>
    <w:rsid w:val="000947D0"/>
    <w:rsid w:val="00095DD7"/>
    <w:rsid w:val="00096B1B"/>
    <w:rsid w:val="00096E33"/>
    <w:rsid w:val="00097B30"/>
    <w:rsid w:val="000A3522"/>
    <w:rsid w:val="000A49BE"/>
    <w:rsid w:val="000A4CB0"/>
    <w:rsid w:val="000A4DF8"/>
    <w:rsid w:val="000A5148"/>
    <w:rsid w:val="000A55AE"/>
    <w:rsid w:val="000A58BB"/>
    <w:rsid w:val="000A6576"/>
    <w:rsid w:val="000B0FD9"/>
    <w:rsid w:val="000B12B0"/>
    <w:rsid w:val="000B1892"/>
    <w:rsid w:val="000B4A80"/>
    <w:rsid w:val="000B5C24"/>
    <w:rsid w:val="000B648E"/>
    <w:rsid w:val="000B712F"/>
    <w:rsid w:val="000B7596"/>
    <w:rsid w:val="000B7D9B"/>
    <w:rsid w:val="000C0100"/>
    <w:rsid w:val="000C085D"/>
    <w:rsid w:val="000C18B5"/>
    <w:rsid w:val="000C4495"/>
    <w:rsid w:val="000C47BC"/>
    <w:rsid w:val="000C6372"/>
    <w:rsid w:val="000C6642"/>
    <w:rsid w:val="000C6697"/>
    <w:rsid w:val="000C70FD"/>
    <w:rsid w:val="000D0077"/>
    <w:rsid w:val="000D15F1"/>
    <w:rsid w:val="000D3DC5"/>
    <w:rsid w:val="000D4A4B"/>
    <w:rsid w:val="000D51BA"/>
    <w:rsid w:val="000D595F"/>
    <w:rsid w:val="000D599A"/>
    <w:rsid w:val="000D5CD5"/>
    <w:rsid w:val="000D5FA7"/>
    <w:rsid w:val="000D6F5A"/>
    <w:rsid w:val="000D7A76"/>
    <w:rsid w:val="000D7B7A"/>
    <w:rsid w:val="000E0FB3"/>
    <w:rsid w:val="000E213D"/>
    <w:rsid w:val="000E36B3"/>
    <w:rsid w:val="000E4EF2"/>
    <w:rsid w:val="000E5E04"/>
    <w:rsid w:val="000E6FF4"/>
    <w:rsid w:val="000E74A1"/>
    <w:rsid w:val="000E7698"/>
    <w:rsid w:val="000E7CAC"/>
    <w:rsid w:val="000F0905"/>
    <w:rsid w:val="000F0F0D"/>
    <w:rsid w:val="000F202C"/>
    <w:rsid w:val="000F3A7C"/>
    <w:rsid w:val="000F3D82"/>
    <w:rsid w:val="000F4B4D"/>
    <w:rsid w:val="000F57EC"/>
    <w:rsid w:val="000F5A92"/>
    <w:rsid w:val="000F6610"/>
    <w:rsid w:val="000F7274"/>
    <w:rsid w:val="000F74E2"/>
    <w:rsid w:val="001000F4"/>
    <w:rsid w:val="00103160"/>
    <w:rsid w:val="00103750"/>
    <w:rsid w:val="00105666"/>
    <w:rsid w:val="00105905"/>
    <w:rsid w:val="00106DDC"/>
    <w:rsid w:val="00106E6F"/>
    <w:rsid w:val="0011067F"/>
    <w:rsid w:val="00110E4D"/>
    <w:rsid w:val="00110F05"/>
    <w:rsid w:val="001113CE"/>
    <w:rsid w:val="0011183F"/>
    <w:rsid w:val="0011396A"/>
    <w:rsid w:val="00114043"/>
    <w:rsid w:val="001142B0"/>
    <w:rsid w:val="001157CC"/>
    <w:rsid w:val="00115A56"/>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596C"/>
    <w:rsid w:val="00135F87"/>
    <w:rsid w:val="001362F2"/>
    <w:rsid w:val="00137307"/>
    <w:rsid w:val="001373A9"/>
    <w:rsid w:val="00137D87"/>
    <w:rsid w:val="00140C57"/>
    <w:rsid w:val="0014178D"/>
    <w:rsid w:val="001426C2"/>
    <w:rsid w:val="001435F4"/>
    <w:rsid w:val="001436ED"/>
    <w:rsid w:val="00143709"/>
    <w:rsid w:val="00143716"/>
    <w:rsid w:val="001451E8"/>
    <w:rsid w:val="00146008"/>
    <w:rsid w:val="00147AF4"/>
    <w:rsid w:val="00150DA7"/>
    <w:rsid w:val="00152824"/>
    <w:rsid w:val="00154A23"/>
    <w:rsid w:val="00155130"/>
    <w:rsid w:val="001568E0"/>
    <w:rsid w:val="001608A4"/>
    <w:rsid w:val="00161492"/>
    <w:rsid w:val="001615D5"/>
    <w:rsid w:val="00161A28"/>
    <w:rsid w:val="0016206A"/>
    <w:rsid w:val="00162B50"/>
    <w:rsid w:val="001630D7"/>
    <w:rsid w:val="0016377E"/>
    <w:rsid w:val="00163782"/>
    <w:rsid w:val="001653A6"/>
    <w:rsid w:val="0016579D"/>
    <w:rsid w:val="001664F3"/>
    <w:rsid w:val="00166A4A"/>
    <w:rsid w:val="00170256"/>
    <w:rsid w:val="00171251"/>
    <w:rsid w:val="00172748"/>
    <w:rsid w:val="0017287E"/>
    <w:rsid w:val="00172BE4"/>
    <w:rsid w:val="00174B2B"/>
    <w:rsid w:val="00175858"/>
    <w:rsid w:val="00175A7C"/>
    <w:rsid w:val="001768F7"/>
    <w:rsid w:val="0017772C"/>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A0482"/>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ECB"/>
    <w:rsid w:val="001B694B"/>
    <w:rsid w:val="001B7BD8"/>
    <w:rsid w:val="001C006E"/>
    <w:rsid w:val="001C32F6"/>
    <w:rsid w:val="001C3695"/>
    <w:rsid w:val="001C3AC6"/>
    <w:rsid w:val="001C4BA5"/>
    <w:rsid w:val="001C4F8F"/>
    <w:rsid w:val="001C5077"/>
    <w:rsid w:val="001C62BA"/>
    <w:rsid w:val="001C6303"/>
    <w:rsid w:val="001C6599"/>
    <w:rsid w:val="001C6718"/>
    <w:rsid w:val="001C7065"/>
    <w:rsid w:val="001D44D7"/>
    <w:rsid w:val="001D4A52"/>
    <w:rsid w:val="001D745A"/>
    <w:rsid w:val="001D7CCE"/>
    <w:rsid w:val="001E0D7D"/>
    <w:rsid w:val="001E1B0D"/>
    <w:rsid w:val="001E302D"/>
    <w:rsid w:val="001E43A8"/>
    <w:rsid w:val="001E4713"/>
    <w:rsid w:val="001E6A3F"/>
    <w:rsid w:val="001E77F3"/>
    <w:rsid w:val="001E78A9"/>
    <w:rsid w:val="001E7B55"/>
    <w:rsid w:val="001F04BE"/>
    <w:rsid w:val="001F0568"/>
    <w:rsid w:val="001F09D0"/>
    <w:rsid w:val="001F2008"/>
    <w:rsid w:val="001F251F"/>
    <w:rsid w:val="001F62EC"/>
    <w:rsid w:val="002024CE"/>
    <w:rsid w:val="002025C3"/>
    <w:rsid w:val="00202BAB"/>
    <w:rsid w:val="0020331B"/>
    <w:rsid w:val="002048CA"/>
    <w:rsid w:val="00205913"/>
    <w:rsid w:val="002059C0"/>
    <w:rsid w:val="00205B29"/>
    <w:rsid w:val="0021186D"/>
    <w:rsid w:val="002127A7"/>
    <w:rsid w:val="00212E42"/>
    <w:rsid w:val="00212E76"/>
    <w:rsid w:val="00212F30"/>
    <w:rsid w:val="00213FD9"/>
    <w:rsid w:val="00214014"/>
    <w:rsid w:val="00214555"/>
    <w:rsid w:val="00215A77"/>
    <w:rsid w:val="0021705A"/>
    <w:rsid w:val="00217A79"/>
    <w:rsid w:val="00217DF9"/>
    <w:rsid w:val="0022051E"/>
    <w:rsid w:val="0022126F"/>
    <w:rsid w:val="002239C8"/>
    <w:rsid w:val="00223A0E"/>
    <w:rsid w:val="0022458D"/>
    <w:rsid w:val="0022515F"/>
    <w:rsid w:val="002254C4"/>
    <w:rsid w:val="002259F1"/>
    <w:rsid w:val="002260F6"/>
    <w:rsid w:val="00226729"/>
    <w:rsid w:val="002300D1"/>
    <w:rsid w:val="00231346"/>
    <w:rsid w:val="00231AD7"/>
    <w:rsid w:val="00234F72"/>
    <w:rsid w:val="00235CCA"/>
    <w:rsid w:val="00236AFC"/>
    <w:rsid w:val="00237166"/>
    <w:rsid w:val="00237A64"/>
    <w:rsid w:val="002401F7"/>
    <w:rsid w:val="00240B57"/>
    <w:rsid w:val="00241293"/>
    <w:rsid w:val="00243245"/>
    <w:rsid w:val="0024365D"/>
    <w:rsid w:val="0024386A"/>
    <w:rsid w:val="00243F27"/>
    <w:rsid w:val="00244A54"/>
    <w:rsid w:val="00244F17"/>
    <w:rsid w:val="00245CAF"/>
    <w:rsid w:val="00245E4D"/>
    <w:rsid w:val="00246D74"/>
    <w:rsid w:val="00246F1D"/>
    <w:rsid w:val="00246F50"/>
    <w:rsid w:val="002475ED"/>
    <w:rsid w:val="00247B7A"/>
    <w:rsid w:val="00247EFB"/>
    <w:rsid w:val="002503B0"/>
    <w:rsid w:val="00251EE8"/>
    <w:rsid w:val="0025217A"/>
    <w:rsid w:val="00252A1C"/>
    <w:rsid w:val="002533CA"/>
    <w:rsid w:val="00253985"/>
    <w:rsid w:val="00255075"/>
    <w:rsid w:val="0025615B"/>
    <w:rsid w:val="00256529"/>
    <w:rsid w:val="002567E8"/>
    <w:rsid w:val="00257446"/>
    <w:rsid w:val="002575DB"/>
    <w:rsid w:val="00257A5A"/>
    <w:rsid w:val="00260D4C"/>
    <w:rsid w:val="002615A4"/>
    <w:rsid w:val="00263DE8"/>
    <w:rsid w:val="00263E8F"/>
    <w:rsid w:val="00263F3A"/>
    <w:rsid w:val="00264164"/>
    <w:rsid w:val="00264347"/>
    <w:rsid w:val="002648E3"/>
    <w:rsid w:val="00264F2B"/>
    <w:rsid w:val="00265232"/>
    <w:rsid w:val="00265917"/>
    <w:rsid w:val="00265FE0"/>
    <w:rsid w:val="002703B5"/>
    <w:rsid w:val="00270616"/>
    <w:rsid w:val="00270FAD"/>
    <w:rsid w:val="00271E59"/>
    <w:rsid w:val="00272B87"/>
    <w:rsid w:val="00272D9F"/>
    <w:rsid w:val="00273176"/>
    <w:rsid w:val="00273F9E"/>
    <w:rsid w:val="002747DD"/>
    <w:rsid w:val="00276836"/>
    <w:rsid w:val="00276CF2"/>
    <w:rsid w:val="00277679"/>
    <w:rsid w:val="00277C53"/>
    <w:rsid w:val="00277F5A"/>
    <w:rsid w:val="00280782"/>
    <w:rsid w:val="002824B6"/>
    <w:rsid w:val="002825FD"/>
    <w:rsid w:val="00282695"/>
    <w:rsid w:val="002830D0"/>
    <w:rsid w:val="00283298"/>
    <w:rsid w:val="00284352"/>
    <w:rsid w:val="00284967"/>
    <w:rsid w:val="00284A96"/>
    <w:rsid w:val="00285F4C"/>
    <w:rsid w:val="00286211"/>
    <w:rsid w:val="00286CD3"/>
    <w:rsid w:val="00286E88"/>
    <w:rsid w:val="00287997"/>
    <w:rsid w:val="00287B37"/>
    <w:rsid w:val="00291018"/>
    <w:rsid w:val="002916DB"/>
    <w:rsid w:val="002924FD"/>
    <w:rsid w:val="00292DA5"/>
    <w:rsid w:val="002940C2"/>
    <w:rsid w:val="00294C62"/>
    <w:rsid w:val="002953C2"/>
    <w:rsid w:val="00296B9C"/>
    <w:rsid w:val="00297C39"/>
    <w:rsid w:val="002A0849"/>
    <w:rsid w:val="002A33CE"/>
    <w:rsid w:val="002A3612"/>
    <w:rsid w:val="002A3643"/>
    <w:rsid w:val="002A366D"/>
    <w:rsid w:val="002A36E7"/>
    <w:rsid w:val="002A3CEB"/>
    <w:rsid w:val="002A4B7D"/>
    <w:rsid w:val="002A56A7"/>
    <w:rsid w:val="002A6173"/>
    <w:rsid w:val="002A64CF"/>
    <w:rsid w:val="002A7C8A"/>
    <w:rsid w:val="002B008D"/>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71C6"/>
    <w:rsid w:val="002C064C"/>
    <w:rsid w:val="002C15DA"/>
    <w:rsid w:val="002C1FD0"/>
    <w:rsid w:val="002C26C7"/>
    <w:rsid w:val="002C446F"/>
    <w:rsid w:val="002C4612"/>
    <w:rsid w:val="002C47DA"/>
    <w:rsid w:val="002C503A"/>
    <w:rsid w:val="002C65AC"/>
    <w:rsid w:val="002C6B31"/>
    <w:rsid w:val="002C785E"/>
    <w:rsid w:val="002D0356"/>
    <w:rsid w:val="002D1230"/>
    <w:rsid w:val="002D19A2"/>
    <w:rsid w:val="002D1A5A"/>
    <w:rsid w:val="002D2C1C"/>
    <w:rsid w:val="002D47BF"/>
    <w:rsid w:val="002D50D9"/>
    <w:rsid w:val="002D627A"/>
    <w:rsid w:val="002D6A9E"/>
    <w:rsid w:val="002D75EF"/>
    <w:rsid w:val="002D7837"/>
    <w:rsid w:val="002E3CAF"/>
    <w:rsid w:val="002E449A"/>
    <w:rsid w:val="002E4A22"/>
    <w:rsid w:val="002E5D06"/>
    <w:rsid w:val="002E74EF"/>
    <w:rsid w:val="002E7E14"/>
    <w:rsid w:val="002F0916"/>
    <w:rsid w:val="002F1439"/>
    <w:rsid w:val="002F1B97"/>
    <w:rsid w:val="002F3AA2"/>
    <w:rsid w:val="002F3BEB"/>
    <w:rsid w:val="002F53D1"/>
    <w:rsid w:val="00300507"/>
    <w:rsid w:val="0030310F"/>
    <w:rsid w:val="0030340E"/>
    <w:rsid w:val="003039A5"/>
    <w:rsid w:val="00304332"/>
    <w:rsid w:val="0030455A"/>
    <w:rsid w:val="00306F1D"/>
    <w:rsid w:val="00310F92"/>
    <w:rsid w:val="0031109D"/>
    <w:rsid w:val="003113F2"/>
    <w:rsid w:val="00311621"/>
    <w:rsid w:val="00312A9D"/>
    <w:rsid w:val="00312F8D"/>
    <w:rsid w:val="003137A1"/>
    <w:rsid w:val="00314494"/>
    <w:rsid w:val="00315051"/>
    <w:rsid w:val="003161F3"/>
    <w:rsid w:val="00316ABB"/>
    <w:rsid w:val="003179B8"/>
    <w:rsid w:val="00320832"/>
    <w:rsid w:val="00320C55"/>
    <w:rsid w:val="0032202F"/>
    <w:rsid w:val="00323150"/>
    <w:rsid w:val="00324708"/>
    <w:rsid w:val="0032570B"/>
    <w:rsid w:val="003268F2"/>
    <w:rsid w:val="00330817"/>
    <w:rsid w:val="00330A8F"/>
    <w:rsid w:val="00330DCA"/>
    <w:rsid w:val="00331503"/>
    <w:rsid w:val="003327BF"/>
    <w:rsid w:val="00332FB0"/>
    <w:rsid w:val="00333260"/>
    <w:rsid w:val="00333843"/>
    <w:rsid w:val="00333E38"/>
    <w:rsid w:val="00334FCA"/>
    <w:rsid w:val="0033576A"/>
    <w:rsid w:val="00335EFC"/>
    <w:rsid w:val="00335FCC"/>
    <w:rsid w:val="003360CE"/>
    <w:rsid w:val="00337294"/>
    <w:rsid w:val="0034148D"/>
    <w:rsid w:val="00342196"/>
    <w:rsid w:val="003441A0"/>
    <w:rsid w:val="00344350"/>
    <w:rsid w:val="00344595"/>
    <w:rsid w:val="00344EA6"/>
    <w:rsid w:val="003467A5"/>
    <w:rsid w:val="00346823"/>
    <w:rsid w:val="0034697D"/>
    <w:rsid w:val="0034732B"/>
    <w:rsid w:val="0035003D"/>
    <w:rsid w:val="00350671"/>
    <w:rsid w:val="0035085F"/>
    <w:rsid w:val="00350D62"/>
    <w:rsid w:val="003513DB"/>
    <w:rsid w:val="00352743"/>
    <w:rsid w:val="003535E6"/>
    <w:rsid w:val="003542D2"/>
    <w:rsid w:val="00354595"/>
    <w:rsid w:val="00356734"/>
    <w:rsid w:val="003567C7"/>
    <w:rsid w:val="00356AD1"/>
    <w:rsid w:val="0035777C"/>
    <w:rsid w:val="00357DC8"/>
    <w:rsid w:val="00357E0B"/>
    <w:rsid w:val="00361012"/>
    <w:rsid w:val="003615B2"/>
    <w:rsid w:val="00361F10"/>
    <w:rsid w:val="0036411A"/>
    <w:rsid w:val="00365F57"/>
    <w:rsid w:val="003669F6"/>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32D9"/>
    <w:rsid w:val="00384143"/>
    <w:rsid w:val="00384F51"/>
    <w:rsid w:val="00385703"/>
    <w:rsid w:val="00385E2F"/>
    <w:rsid w:val="00386021"/>
    <w:rsid w:val="00386760"/>
    <w:rsid w:val="00387105"/>
    <w:rsid w:val="00387333"/>
    <w:rsid w:val="00391F19"/>
    <w:rsid w:val="0039222C"/>
    <w:rsid w:val="0039241A"/>
    <w:rsid w:val="003927C1"/>
    <w:rsid w:val="0039294F"/>
    <w:rsid w:val="00394451"/>
    <w:rsid w:val="0039467E"/>
    <w:rsid w:val="00395F83"/>
    <w:rsid w:val="00396286"/>
    <w:rsid w:val="003A0C0D"/>
    <w:rsid w:val="003A21F9"/>
    <w:rsid w:val="003A2390"/>
    <w:rsid w:val="003A50B1"/>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372"/>
    <w:rsid w:val="003D0FFF"/>
    <w:rsid w:val="003D173F"/>
    <w:rsid w:val="003D2CA5"/>
    <w:rsid w:val="003D3EA8"/>
    <w:rsid w:val="003D5252"/>
    <w:rsid w:val="003D663A"/>
    <w:rsid w:val="003D6A75"/>
    <w:rsid w:val="003E2267"/>
    <w:rsid w:val="003E2B17"/>
    <w:rsid w:val="003E425C"/>
    <w:rsid w:val="003E4BC5"/>
    <w:rsid w:val="003E5086"/>
    <w:rsid w:val="003E6788"/>
    <w:rsid w:val="003E67B3"/>
    <w:rsid w:val="003E7124"/>
    <w:rsid w:val="003E7450"/>
    <w:rsid w:val="003F3C5A"/>
    <w:rsid w:val="003F3F98"/>
    <w:rsid w:val="003F4F6C"/>
    <w:rsid w:val="003F5257"/>
    <w:rsid w:val="003F664C"/>
    <w:rsid w:val="003F7E05"/>
    <w:rsid w:val="00400247"/>
    <w:rsid w:val="004008BE"/>
    <w:rsid w:val="004008E8"/>
    <w:rsid w:val="00400AFE"/>
    <w:rsid w:val="00400D6F"/>
    <w:rsid w:val="0040231A"/>
    <w:rsid w:val="00403122"/>
    <w:rsid w:val="004034E9"/>
    <w:rsid w:val="00404CBC"/>
    <w:rsid w:val="00405129"/>
    <w:rsid w:val="0040627F"/>
    <w:rsid w:val="00407464"/>
    <w:rsid w:val="004075BE"/>
    <w:rsid w:val="0041180F"/>
    <w:rsid w:val="00411BD1"/>
    <w:rsid w:val="004140BF"/>
    <w:rsid w:val="00414ADC"/>
    <w:rsid w:val="004203C0"/>
    <w:rsid w:val="00420D59"/>
    <w:rsid w:val="00423C1B"/>
    <w:rsid w:val="00425B36"/>
    <w:rsid w:val="00425BBF"/>
    <w:rsid w:val="00427848"/>
    <w:rsid w:val="00427CB9"/>
    <w:rsid w:val="004332CF"/>
    <w:rsid w:val="00433E3C"/>
    <w:rsid w:val="0043475C"/>
    <w:rsid w:val="004351C7"/>
    <w:rsid w:val="00435288"/>
    <w:rsid w:val="004357D8"/>
    <w:rsid w:val="00435FCE"/>
    <w:rsid w:val="00436318"/>
    <w:rsid w:val="00436B74"/>
    <w:rsid w:val="00437A00"/>
    <w:rsid w:val="004413A2"/>
    <w:rsid w:val="00442E1C"/>
    <w:rsid w:val="004436F2"/>
    <w:rsid w:val="00444503"/>
    <w:rsid w:val="00446351"/>
    <w:rsid w:val="004477EF"/>
    <w:rsid w:val="004506F6"/>
    <w:rsid w:val="0045103B"/>
    <w:rsid w:val="004511C6"/>
    <w:rsid w:val="00451563"/>
    <w:rsid w:val="0045277A"/>
    <w:rsid w:val="00452D3C"/>
    <w:rsid w:val="00453AD4"/>
    <w:rsid w:val="004549A7"/>
    <w:rsid w:val="00457098"/>
    <w:rsid w:val="00457C00"/>
    <w:rsid w:val="00460775"/>
    <w:rsid w:val="004612F7"/>
    <w:rsid w:val="0046257C"/>
    <w:rsid w:val="0046273F"/>
    <w:rsid w:val="0046286C"/>
    <w:rsid w:val="00463064"/>
    <w:rsid w:val="00463FB7"/>
    <w:rsid w:val="004640D8"/>
    <w:rsid w:val="00464893"/>
    <w:rsid w:val="00466C11"/>
    <w:rsid w:val="00467265"/>
    <w:rsid w:val="00470774"/>
    <w:rsid w:val="0047335B"/>
    <w:rsid w:val="00474127"/>
    <w:rsid w:val="0048157D"/>
    <w:rsid w:val="00482106"/>
    <w:rsid w:val="004821FA"/>
    <w:rsid w:val="0048252D"/>
    <w:rsid w:val="00483834"/>
    <w:rsid w:val="00483B91"/>
    <w:rsid w:val="00483E00"/>
    <w:rsid w:val="00484A73"/>
    <w:rsid w:val="00484BB3"/>
    <w:rsid w:val="00484BB9"/>
    <w:rsid w:val="00485558"/>
    <w:rsid w:val="0048591D"/>
    <w:rsid w:val="00486728"/>
    <w:rsid w:val="00487CAB"/>
    <w:rsid w:val="004901C9"/>
    <w:rsid w:val="004905B9"/>
    <w:rsid w:val="00491083"/>
    <w:rsid w:val="00493BB7"/>
    <w:rsid w:val="00493E48"/>
    <w:rsid w:val="00495FB2"/>
    <w:rsid w:val="0049614B"/>
    <w:rsid w:val="00496902"/>
    <w:rsid w:val="004A028C"/>
    <w:rsid w:val="004A06DF"/>
    <w:rsid w:val="004A3014"/>
    <w:rsid w:val="004A3A49"/>
    <w:rsid w:val="004A4DC6"/>
    <w:rsid w:val="004A5665"/>
    <w:rsid w:val="004A5874"/>
    <w:rsid w:val="004A5F4E"/>
    <w:rsid w:val="004B0174"/>
    <w:rsid w:val="004B063C"/>
    <w:rsid w:val="004B2EEB"/>
    <w:rsid w:val="004B3413"/>
    <w:rsid w:val="004B43AC"/>
    <w:rsid w:val="004B5102"/>
    <w:rsid w:val="004B5435"/>
    <w:rsid w:val="004B5B77"/>
    <w:rsid w:val="004B5DC9"/>
    <w:rsid w:val="004B5DF1"/>
    <w:rsid w:val="004B6E93"/>
    <w:rsid w:val="004B7205"/>
    <w:rsid w:val="004B7AC9"/>
    <w:rsid w:val="004C3FBC"/>
    <w:rsid w:val="004C570D"/>
    <w:rsid w:val="004C6488"/>
    <w:rsid w:val="004C77EE"/>
    <w:rsid w:val="004D2502"/>
    <w:rsid w:val="004D27B4"/>
    <w:rsid w:val="004D285A"/>
    <w:rsid w:val="004D2E2F"/>
    <w:rsid w:val="004D40D8"/>
    <w:rsid w:val="004D5228"/>
    <w:rsid w:val="004D58F1"/>
    <w:rsid w:val="004D61A5"/>
    <w:rsid w:val="004D6825"/>
    <w:rsid w:val="004D6F0F"/>
    <w:rsid w:val="004D6F55"/>
    <w:rsid w:val="004D78A3"/>
    <w:rsid w:val="004E11CB"/>
    <w:rsid w:val="004E21C8"/>
    <w:rsid w:val="004E3374"/>
    <w:rsid w:val="004E3B36"/>
    <w:rsid w:val="004E564C"/>
    <w:rsid w:val="004E5BEA"/>
    <w:rsid w:val="004E5E4C"/>
    <w:rsid w:val="004F2FF4"/>
    <w:rsid w:val="004F479E"/>
    <w:rsid w:val="004F529E"/>
    <w:rsid w:val="004F6699"/>
    <w:rsid w:val="004F6B5D"/>
    <w:rsid w:val="004F7572"/>
    <w:rsid w:val="005003DA"/>
    <w:rsid w:val="0050175E"/>
    <w:rsid w:val="00501EEA"/>
    <w:rsid w:val="005024A5"/>
    <w:rsid w:val="005024F5"/>
    <w:rsid w:val="00502870"/>
    <w:rsid w:val="005036D4"/>
    <w:rsid w:val="00504189"/>
    <w:rsid w:val="00504E21"/>
    <w:rsid w:val="00507645"/>
    <w:rsid w:val="00507DB9"/>
    <w:rsid w:val="00507FFA"/>
    <w:rsid w:val="005105D4"/>
    <w:rsid w:val="00511410"/>
    <w:rsid w:val="0051605E"/>
    <w:rsid w:val="0051766F"/>
    <w:rsid w:val="005177BD"/>
    <w:rsid w:val="00521F32"/>
    <w:rsid w:val="005220EF"/>
    <w:rsid w:val="0052366F"/>
    <w:rsid w:val="00523C32"/>
    <w:rsid w:val="00524636"/>
    <w:rsid w:val="005268FE"/>
    <w:rsid w:val="005277CB"/>
    <w:rsid w:val="00527F02"/>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B36"/>
    <w:rsid w:val="00552064"/>
    <w:rsid w:val="00553221"/>
    <w:rsid w:val="00553AEA"/>
    <w:rsid w:val="00554371"/>
    <w:rsid w:val="0055467E"/>
    <w:rsid w:val="00557049"/>
    <w:rsid w:val="00560065"/>
    <w:rsid w:val="00561271"/>
    <w:rsid w:val="0056383C"/>
    <w:rsid w:val="005641C0"/>
    <w:rsid w:val="00565257"/>
    <w:rsid w:val="005652BD"/>
    <w:rsid w:val="00565650"/>
    <w:rsid w:val="0056581D"/>
    <w:rsid w:val="00565A68"/>
    <w:rsid w:val="005661A8"/>
    <w:rsid w:val="0057050B"/>
    <w:rsid w:val="005737C3"/>
    <w:rsid w:val="00574A25"/>
    <w:rsid w:val="0057563D"/>
    <w:rsid w:val="0057572B"/>
    <w:rsid w:val="00576C19"/>
    <w:rsid w:val="0057743A"/>
    <w:rsid w:val="005776D5"/>
    <w:rsid w:val="00577A08"/>
    <w:rsid w:val="00580F8A"/>
    <w:rsid w:val="0058175D"/>
    <w:rsid w:val="00581EE6"/>
    <w:rsid w:val="0058293D"/>
    <w:rsid w:val="00583B2A"/>
    <w:rsid w:val="0058507E"/>
    <w:rsid w:val="00585725"/>
    <w:rsid w:val="00585E89"/>
    <w:rsid w:val="00587925"/>
    <w:rsid w:val="005879BD"/>
    <w:rsid w:val="005903E6"/>
    <w:rsid w:val="00590AFC"/>
    <w:rsid w:val="005916C0"/>
    <w:rsid w:val="005922F5"/>
    <w:rsid w:val="00593889"/>
    <w:rsid w:val="00593EB6"/>
    <w:rsid w:val="00594438"/>
    <w:rsid w:val="00595E6C"/>
    <w:rsid w:val="005A0080"/>
    <w:rsid w:val="005A04E5"/>
    <w:rsid w:val="005A1611"/>
    <w:rsid w:val="005A1716"/>
    <w:rsid w:val="005A2265"/>
    <w:rsid w:val="005A4699"/>
    <w:rsid w:val="005B043B"/>
    <w:rsid w:val="005B092C"/>
    <w:rsid w:val="005B12C6"/>
    <w:rsid w:val="005B1AC2"/>
    <w:rsid w:val="005B3E3F"/>
    <w:rsid w:val="005B4AEA"/>
    <w:rsid w:val="005B4FAC"/>
    <w:rsid w:val="005B58B3"/>
    <w:rsid w:val="005B61C4"/>
    <w:rsid w:val="005B6CD8"/>
    <w:rsid w:val="005B6EF5"/>
    <w:rsid w:val="005B70E8"/>
    <w:rsid w:val="005B7AA7"/>
    <w:rsid w:val="005B7D6F"/>
    <w:rsid w:val="005B7E33"/>
    <w:rsid w:val="005C048B"/>
    <w:rsid w:val="005C04A2"/>
    <w:rsid w:val="005C1072"/>
    <w:rsid w:val="005C1E20"/>
    <w:rsid w:val="005C202D"/>
    <w:rsid w:val="005C3311"/>
    <w:rsid w:val="005C5025"/>
    <w:rsid w:val="005C6958"/>
    <w:rsid w:val="005D0043"/>
    <w:rsid w:val="005D043E"/>
    <w:rsid w:val="005D2491"/>
    <w:rsid w:val="005D2500"/>
    <w:rsid w:val="005D2DB8"/>
    <w:rsid w:val="005D347D"/>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5AE1"/>
    <w:rsid w:val="005E7A32"/>
    <w:rsid w:val="005F0563"/>
    <w:rsid w:val="005F06F0"/>
    <w:rsid w:val="005F0851"/>
    <w:rsid w:val="005F0CB8"/>
    <w:rsid w:val="005F2FFB"/>
    <w:rsid w:val="005F4076"/>
    <w:rsid w:val="005F40B3"/>
    <w:rsid w:val="005F6AE5"/>
    <w:rsid w:val="006002B4"/>
    <w:rsid w:val="006008BF"/>
    <w:rsid w:val="00601A18"/>
    <w:rsid w:val="00602613"/>
    <w:rsid w:val="00603305"/>
    <w:rsid w:val="006035B9"/>
    <w:rsid w:val="00604177"/>
    <w:rsid w:val="00604611"/>
    <w:rsid w:val="00604788"/>
    <w:rsid w:val="006060BC"/>
    <w:rsid w:val="006061C7"/>
    <w:rsid w:val="0060682C"/>
    <w:rsid w:val="00607593"/>
    <w:rsid w:val="006079E6"/>
    <w:rsid w:val="00611672"/>
    <w:rsid w:val="006118A2"/>
    <w:rsid w:val="00611AB1"/>
    <w:rsid w:val="00611DD6"/>
    <w:rsid w:val="006125DE"/>
    <w:rsid w:val="00612B10"/>
    <w:rsid w:val="00612DF9"/>
    <w:rsid w:val="006156EA"/>
    <w:rsid w:val="00616C12"/>
    <w:rsid w:val="006201F3"/>
    <w:rsid w:val="00620B3E"/>
    <w:rsid w:val="0062287A"/>
    <w:rsid w:val="00623265"/>
    <w:rsid w:val="00623804"/>
    <w:rsid w:val="00623BBF"/>
    <w:rsid w:val="00626A6C"/>
    <w:rsid w:val="00626E7D"/>
    <w:rsid w:val="00630044"/>
    <w:rsid w:val="006303A1"/>
    <w:rsid w:val="00631B52"/>
    <w:rsid w:val="00632AC8"/>
    <w:rsid w:val="0063349C"/>
    <w:rsid w:val="00633723"/>
    <w:rsid w:val="00636396"/>
    <w:rsid w:val="00640348"/>
    <w:rsid w:val="00643C50"/>
    <w:rsid w:val="00643C84"/>
    <w:rsid w:val="00644067"/>
    <w:rsid w:val="00644156"/>
    <w:rsid w:val="006446F0"/>
    <w:rsid w:val="006449CF"/>
    <w:rsid w:val="00644AFF"/>
    <w:rsid w:val="00646565"/>
    <w:rsid w:val="00646E48"/>
    <w:rsid w:val="00647403"/>
    <w:rsid w:val="00647548"/>
    <w:rsid w:val="00647C06"/>
    <w:rsid w:val="00647C66"/>
    <w:rsid w:val="00650E77"/>
    <w:rsid w:val="006537DA"/>
    <w:rsid w:val="00653E5F"/>
    <w:rsid w:val="006567BB"/>
    <w:rsid w:val="0065681E"/>
    <w:rsid w:val="00657F33"/>
    <w:rsid w:val="00663CBB"/>
    <w:rsid w:val="00664EEA"/>
    <w:rsid w:val="00665232"/>
    <w:rsid w:val="00665612"/>
    <w:rsid w:val="0066567A"/>
    <w:rsid w:val="006660DA"/>
    <w:rsid w:val="00666C4F"/>
    <w:rsid w:val="00670736"/>
    <w:rsid w:val="006728D8"/>
    <w:rsid w:val="00672EE4"/>
    <w:rsid w:val="006734BC"/>
    <w:rsid w:val="00673ADB"/>
    <w:rsid w:val="00674BF3"/>
    <w:rsid w:val="00675187"/>
    <w:rsid w:val="006753E2"/>
    <w:rsid w:val="00675961"/>
    <w:rsid w:val="00675C69"/>
    <w:rsid w:val="00676336"/>
    <w:rsid w:val="00676E8C"/>
    <w:rsid w:val="00677308"/>
    <w:rsid w:val="00677311"/>
    <w:rsid w:val="006777B4"/>
    <w:rsid w:val="00680EF7"/>
    <w:rsid w:val="006813FC"/>
    <w:rsid w:val="006816F3"/>
    <w:rsid w:val="0068236C"/>
    <w:rsid w:val="0068375E"/>
    <w:rsid w:val="00683FD1"/>
    <w:rsid w:val="00684452"/>
    <w:rsid w:val="00685606"/>
    <w:rsid w:val="00686BC1"/>
    <w:rsid w:val="00690CED"/>
    <w:rsid w:val="00690D70"/>
    <w:rsid w:val="00691987"/>
    <w:rsid w:val="00691CC0"/>
    <w:rsid w:val="00692504"/>
    <w:rsid w:val="00693185"/>
    <w:rsid w:val="00694EA1"/>
    <w:rsid w:val="00695515"/>
    <w:rsid w:val="00695B83"/>
    <w:rsid w:val="0069739C"/>
    <w:rsid w:val="00697B51"/>
    <w:rsid w:val="00697D16"/>
    <w:rsid w:val="006A0191"/>
    <w:rsid w:val="006A0F15"/>
    <w:rsid w:val="006A0F79"/>
    <w:rsid w:val="006A121E"/>
    <w:rsid w:val="006A16BF"/>
    <w:rsid w:val="006A37A4"/>
    <w:rsid w:val="006A3A92"/>
    <w:rsid w:val="006A3D3F"/>
    <w:rsid w:val="006A3ECD"/>
    <w:rsid w:val="006A4280"/>
    <w:rsid w:val="006A4689"/>
    <w:rsid w:val="006A4A4B"/>
    <w:rsid w:val="006A4E88"/>
    <w:rsid w:val="006A6B3F"/>
    <w:rsid w:val="006A70C4"/>
    <w:rsid w:val="006B15D8"/>
    <w:rsid w:val="006B2167"/>
    <w:rsid w:val="006B2E73"/>
    <w:rsid w:val="006B3F11"/>
    <w:rsid w:val="006B43A2"/>
    <w:rsid w:val="006B43ED"/>
    <w:rsid w:val="006B69BF"/>
    <w:rsid w:val="006B6B64"/>
    <w:rsid w:val="006B6CF9"/>
    <w:rsid w:val="006B79A4"/>
    <w:rsid w:val="006B7CE4"/>
    <w:rsid w:val="006C0D1D"/>
    <w:rsid w:val="006C115A"/>
    <w:rsid w:val="006C1B86"/>
    <w:rsid w:val="006C2E50"/>
    <w:rsid w:val="006C41C5"/>
    <w:rsid w:val="006C5B40"/>
    <w:rsid w:val="006C6143"/>
    <w:rsid w:val="006C6D19"/>
    <w:rsid w:val="006D0991"/>
    <w:rsid w:val="006D22F6"/>
    <w:rsid w:val="006D35E3"/>
    <w:rsid w:val="006D41BE"/>
    <w:rsid w:val="006D4355"/>
    <w:rsid w:val="006D5D40"/>
    <w:rsid w:val="006D5FDD"/>
    <w:rsid w:val="006D71E6"/>
    <w:rsid w:val="006D7F41"/>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F56"/>
    <w:rsid w:val="00700CEA"/>
    <w:rsid w:val="00702174"/>
    <w:rsid w:val="00702986"/>
    <w:rsid w:val="0070332A"/>
    <w:rsid w:val="00703996"/>
    <w:rsid w:val="00703A3F"/>
    <w:rsid w:val="00705F16"/>
    <w:rsid w:val="00707130"/>
    <w:rsid w:val="00707A22"/>
    <w:rsid w:val="00712CE1"/>
    <w:rsid w:val="0071419A"/>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31B50"/>
    <w:rsid w:val="00731C61"/>
    <w:rsid w:val="00731D11"/>
    <w:rsid w:val="00731FC4"/>
    <w:rsid w:val="0073635E"/>
    <w:rsid w:val="007364FE"/>
    <w:rsid w:val="007369F8"/>
    <w:rsid w:val="00737604"/>
    <w:rsid w:val="00740957"/>
    <w:rsid w:val="00741150"/>
    <w:rsid w:val="00741E04"/>
    <w:rsid w:val="00742C89"/>
    <w:rsid w:val="00742E05"/>
    <w:rsid w:val="00742ED6"/>
    <w:rsid w:val="00743CB7"/>
    <w:rsid w:val="0074461A"/>
    <w:rsid w:val="00745277"/>
    <w:rsid w:val="0074681A"/>
    <w:rsid w:val="00747B76"/>
    <w:rsid w:val="00747E9C"/>
    <w:rsid w:val="00747F31"/>
    <w:rsid w:val="007536E4"/>
    <w:rsid w:val="0075396C"/>
    <w:rsid w:val="00753C4E"/>
    <w:rsid w:val="007544BA"/>
    <w:rsid w:val="00754655"/>
    <w:rsid w:val="007558A2"/>
    <w:rsid w:val="00756B6F"/>
    <w:rsid w:val="00757775"/>
    <w:rsid w:val="00761288"/>
    <w:rsid w:val="00761C9F"/>
    <w:rsid w:val="00761DCE"/>
    <w:rsid w:val="00762AA1"/>
    <w:rsid w:val="00763BFE"/>
    <w:rsid w:val="007640CB"/>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911"/>
    <w:rsid w:val="00775DD0"/>
    <w:rsid w:val="00775E8C"/>
    <w:rsid w:val="0077636A"/>
    <w:rsid w:val="007824B8"/>
    <w:rsid w:val="00782840"/>
    <w:rsid w:val="00782D41"/>
    <w:rsid w:val="0078469E"/>
    <w:rsid w:val="00785361"/>
    <w:rsid w:val="007875CC"/>
    <w:rsid w:val="0079064B"/>
    <w:rsid w:val="00791546"/>
    <w:rsid w:val="00791C84"/>
    <w:rsid w:val="00792866"/>
    <w:rsid w:val="007933DC"/>
    <w:rsid w:val="00793844"/>
    <w:rsid w:val="0079713A"/>
    <w:rsid w:val="00797EE1"/>
    <w:rsid w:val="007A0881"/>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4115"/>
    <w:rsid w:val="007B42FD"/>
    <w:rsid w:val="007B4479"/>
    <w:rsid w:val="007B4D3B"/>
    <w:rsid w:val="007B503B"/>
    <w:rsid w:val="007C1630"/>
    <w:rsid w:val="007C36C5"/>
    <w:rsid w:val="007C3F16"/>
    <w:rsid w:val="007C442F"/>
    <w:rsid w:val="007C4AB8"/>
    <w:rsid w:val="007C72CD"/>
    <w:rsid w:val="007C7EFF"/>
    <w:rsid w:val="007C7FA6"/>
    <w:rsid w:val="007D04E9"/>
    <w:rsid w:val="007D175E"/>
    <w:rsid w:val="007D3A34"/>
    <w:rsid w:val="007D3A80"/>
    <w:rsid w:val="007D43D8"/>
    <w:rsid w:val="007D4AF8"/>
    <w:rsid w:val="007D51A9"/>
    <w:rsid w:val="007D6A0B"/>
    <w:rsid w:val="007D74AF"/>
    <w:rsid w:val="007D7B84"/>
    <w:rsid w:val="007E0AB8"/>
    <w:rsid w:val="007E0ED2"/>
    <w:rsid w:val="007E24F4"/>
    <w:rsid w:val="007E24FC"/>
    <w:rsid w:val="007E26A4"/>
    <w:rsid w:val="007E2FC1"/>
    <w:rsid w:val="007E3A05"/>
    <w:rsid w:val="007E41A2"/>
    <w:rsid w:val="007E46E3"/>
    <w:rsid w:val="007E5C3A"/>
    <w:rsid w:val="007E686F"/>
    <w:rsid w:val="007E6C75"/>
    <w:rsid w:val="007E7A7F"/>
    <w:rsid w:val="007E7E46"/>
    <w:rsid w:val="007F0597"/>
    <w:rsid w:val="007F1159"/>
    <w:rsid w:val="007F2C9F"/>
    <w:rsid w:val="007F3F0D"/>
    <w:rsid w:val="007F4789"/>
    <w:rsid w:val="007F5D4D"/>
    <w:rsid w:val="007F70DF"/>
    <w:rsid w:val="00801622"/>
    <w:rsid w:val="00802195"/>
    <w:rsid w:val="008027B2"/>
    <w:rsid w:val="00802940"/>
    <w:rsid w:val="0080388E"/>
    <w:rsid w:val="00804316"/>
    <w:rsid w:val="0080452D"/>
    <w:rsid w:val="008059FE"/>
    <w:rsid w:val="008060E2"/>
    <w:rsid w:val="00806CA0"/>
    <w:rsid w:val="00806F82"/>
    <w:rsid w:val="0080777A"/>
    <w:rsid w:val="00807E2B"/>
    <w:rsid w:val="00811133"/>
    <w:rsid w:val="008121E0"/>
    <w:rsid w:val="00812E86"/>
    <w:rsid w:val="0081350C"/>
    <w:rsid w:val="00815F96"/>
    <w:rsid w:val="0081657E"/>
    <w:rsid w:val="00816946"/>
    <w:rsid w:val="00816DB9"/>
    <w:rsid w:val="008203CD"/>
    <w:rsid w:val="0082111B"/>
    <w:rsid w:val="00821C02"/>
    <w:rsid w:val="0082373B"/>
    <w:rsid w:val="00823D2D"/>
    <w:rsid w:val="00825A24"/>
    <w:rsid w:val="00825F2E"/>
    <w:rsid w:val="00827AAD"/>
    <w:rsid w:val="00827CEF"/>
    <w:rsid w:val="00827D33"/>
    <w:rsid w:val="00830ECC"/>
    <w:rsid w:val="0083123E"/>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3806"/>
    <w:rsid w:val="00844352"/>
    <w:rsid w:val="008446E6"/>
    <w:rsid w:val="00851793"/>
    <w:rsid w:val="00851B00"/>
    <w:rsid w:val="008522D3"/>
    <w:rsid w:val="0085259B"/>
    <w:rsid w:val="0085270C"/>
    <w:rsid w:val="00853096"/>
    <w:rsid w:val="0085417A"/>
    <w:rsid w:val="00854AB8"/>
    <w:rsid w:val="0085665E"/>
    <w:rsid w:val="00856BC0"/>
    <w:rsid w:val="008570C2"/>
    <w:rsid w:val="0085717B"/>
    <w:rsid w:val="008576FB"/>
    <w:rsid w:val="00857E8A"/>
    <w:rsid w:val="00861E51"/>
    <w:rsid w:val="008620A3"/>
    <w:rsid w:val="008637A2"/>
    <w:rsid w:val="0086394E"/>
    <w:rsid w:val="0086541A"/>
    <w:rsid w:val="00865E4A"/>
    <w:rsid w:val="00865FB3"/>
    <w:rsid w:val="00866611"/>
    <w:rsid w:val="00866755"/>
    <w:rsid w:val="008678E6"/>
    <w:rsid w:val="00867ACE"/>
    <w:rsid w:val="00867B5A"/>
    <w:rsid w:val="00870AE8"/>
    <w:rsid w:val="00870D62"/>
    <w:rsid w:val="008712BB"/>
    <w:rsid w:val="008752B0"/>
    <w:rsid w:val="00875F81"/>
    <w:rsid w:val="0087657B"/>
    <w:rsid w:val="00880545"/>
    <w:rsid w:val="00881333"/>
    <w:rsid w:val="00881E20"/>
    <w:rsid w:val="00883CC1"/>
    <w:rsid w:val="0088453E"/>
    <w:rsid w:val="008861A0"/>
    <w:rsid w:val="008864E5"/>
    <w:rsid w:val="00886FCF"/>
    <w:rsid w:val="008918DD"/>
    <w:rsid w:val="00894076"/>
    <w:rsid w:val="0089545E"/>
    <w:rsid w:val="0089572B"/>
    <w:rsid w:val="00895DC9"/>
    <w:rsid w:val="00897792"/>
    <w:rsid w:val="008A10DA"/>
    <w:rsid w:val="008A2914"/>
    <w:rsid w:val="008A47E2"/>
    <w:rsid w:val="008A6515"/>
    <w:rsid w:val="008A721C"/>
    <w:rsid w:val="008B0E39"/>
    <w:rsid w:val="008B1C1E"/>
    <w:rsid w:val="008B1FC2"/>
    <w:rsid w:val="008B2A13"/>
    <w:rsid w:val="008B321B"/>
    <w:rsid w:val="008B3D62"/>
    <w:rsid w:val="008B577D"/>
    <w:rsid w:val="008B66A9"/>
    <w:rsid w:val="008B7143"/>
    <w:rsid w:val="008B7315"/>
    <w:rsid w:val="008C266F"/>
    <w:rsid w:val="008C287F"/>
    <w:rsid w:val="008C2AC9"/>
    <w:rsid w:val="008C2FE1"/>
    <w:rsid w:val="008C3877"/>
    <w:rsid w:val="008C5B79"/>
    <w:rsid w:val="008C5C30"/>
    <w:rsid w:val="008C6230"/>
    <w:rsid w:val="008D0625"/>
    <w:rsid w:val="008D0F89"/>
    <w:rsid w:val="008D1017"/>
    <w:rsid w:val="008D2424"/>
    <w:rsid w:val="008D2C81"/>
    <w:rsid w:val="008D39E4"/>
    <w:rsid w:val="008D40B9"/>
    <w:rsid w:val="008D462F"/>
    <w:rsid w:val="008D6655"/>
    <w:rsid w:val="008D6989"/>
    <w:rsid w:val="008D6DD7"/>
    <w:rsid w:val="008D72F6"/>
    <w:rsid w:val="008E03A9"/>
    <w:rsid w:val="008E074D"/>
    <w:rsid w:val="008E1242"/>
    <w:rsid w:val="008E1DB8"/>
    <w:rsid w:val="008E1E89"/>
    <w:rsid w:val="008E2AD3"/>
    <w:rsid w:val="008E4766"/>
    <w:rsid w:val="008E4BA9"/>
    <w:rsid w:val="008E55C8"/>
    <w:rsid w:val="008E660A"/>
    <w:rsid w:val="008E6CE7"/>
    <w:rsid w:val="008E7552"/>
    <w:rsid w:val="008F088E"/>
    <w:rsid w:val="008F1269"/>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26EB"/>
    <w:rsid w:val="00912751"/>
    <w:rsid w:val="0091418B"/>
    <w:rsid w:val="009157AA"/>
    <w:rsid w:val="009173EB"/>
    <w:rsid w:val="0092033C"/>
    <w:rsid w:val="00920B30"/>
    <w:rsid w:val="0092101B"/>
    <w:rsid w:val="00921A55"/>
    <w:rsid w:val="00925E4B"/>
    <w:rsid w:val="009262BD"/>
    <w:rsid w:val="009312E9"/>
    <w:rsid w:val="009318C1"/>
    <w:rsid w:val="00931D38"/>
    <w:rsid w:val="0093359E"/>
    <w:rsid w:val="009336A9"/>
    <w:rsid w:val="00933A2B"/>
    <w:rsid w:val="00933EC4"/>
    <w:rsid w:val="00934AC2"/>
    <w:rsid w:val="00934F25"/>
    <w:rsid w:val="0093581E"/>
    <w:rsid w:val="00936289"/>
    <w:rsid w:val="009369A2"/>
    <w:rsid w:val="009372F2"/>
    <w:rsid w:val="00937376"/>
    <w:rsid w:val="00937A3A"/>
    <w:rsid w:val="00937D81"/>
    <w:rsid w:val="00940623"/>
    <w:rsid w:val="00945742"/>
    <w:rsid w:val="009457C2"/>
    <w:rsid w:val="0094630A"/>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321B"/>
    <w:rsid w:val="00963B34"/>
    <w:rsid w:val="00965461"/>
    <w:rsid w:val="009659B1"/>
    <w:rsid w:val="00965C5B"/>
    <w:rsid w:val="009673AF"/>
    <w:rsid w:val="009675FA"/>
    <w:rsid w:val="009701D0"/>
    <w:rsid w:val="009707CC"/>
    <w:rsid w:val="00970943"/>
    <w:rsid w:val="00970E88"/>
    <w:rsid w:val="00972E8F"/>
    <w:rsid w:val="009736ED"/>
    <w:rsid w:val="00974832"/>
    <w:rsid w:val="009761D8"/>
    <w:rsid w:val="009761F7"/>
    <w:rsid w:val="009765DD"/>
    <w:rsid w:val="009768F3"/>
    <w:rsid w:val="00976C24"/>
    <w:rsid w:val="009771C4"/>
    <w:rsid w:val="009818D6"/>
    <w:rsid w:val="00982D21"/>
    <w:rsid w:val="00983948"/>
    <w:rsid w:val="0098411C"/>
    <w:rsid w:val="009853BF"/>
    <w:rsid w:val="009857D8"/>
    <w:rsid w:val="009874B5"/>
    <w:rsid w:val="009877E6"/>
    <w:rsid w:val="00987E07"/>
    <w:rsid w:val="00987EF3"/>
    <w:rsid w:val="009935BC"/>
    <w:rsid w:val="009941FA"/>
    <w:rsid w:val="009948FF"/>
    <w:rsid w:val="00995C4E"/>
    <w:rsid w:val="00995F7A"/>
    <w:rsid w:val="009961D7"/>
    <w:rsid w:val="009973AE"/>
    <w:rsid w:val="00997848"/>
    <w:rsid w:val="00997F61"/>
    <w:rsid w:val="009A0761"/>
    <w:rsid w:val="009A443F"/>
    <w:rsid w:val="009A53FB"/>
    <w:rsid w:val="009A5B53"/>
    <w:rsid w:val="009A6954"/>
    <w:rsid w:val="009B114A"/>
    <w:rsid w:val="009B1468"/>
    <w:rsid w:val="009B1B60"/>
    <w:rsid w:val="009B20E1"/>
    <w:rsid w:val="009B2404"/>
    <w:rsid w:val="009B355C"/>
    <w:rsid w:val="009B3EA3"/>
    <w:rsid w:val="009B5445"/>
    <w:rsid w:val="009B5C12"/>
    <w:rsid w:val="009B6AB0"/>
    <w:rsid w:val="009B6E4F"/>
    <w:rsid w:val="009B74C0"/>
    <w:rsid w:val="009B76ED"/>
    <w:rsid w:val="009B7C97"/>
    <w:rsid w:val="009C06F9"/>
    <w:rsid w:val="009C154D"/>
    <w:rsid w:val="009C1762"/>
    <w:rsid w:val="009C2367"/>
    <w:rsid w:val="009C272E"/>
    <w:rsid w:val="009C3E9C"/>
    <w:rsid w:val="009C5216"/>
    <w:rsid w:val="009C6192"/>
    <w:rsid w:val="009C65DF"/>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A003BF"/>
    <w:rsid w:val="00A0243B"/>
    <w:rsid w:val="00A024CE"/>
    <w:rsid w:val="00A03548"/>
    <w:rsid w:val="00A04E2D"/>
    <w:rsid w:val="00A05516"/>
    <w:rsid w:val="00A05EC1"/>
    <w:rsid w:val="00A111FB"/>
    <w:rsid w:val="00A12752"/>
    <w:rsid w:val="00A12E9E"/>
    <w:rsid w:val="00A13B10"/>
    <w:rsid w:val="00A13B22"/>
    <w:rsid w:val="00A14727"/>
    <w:rsid w:val="00A15BDB"/>
    <w:rsid w:val="00A161F7"/>
    <w:rsid w:val="00A16AF6"/>
    <w:rsid w:val="00A170BC"/>
    <w:rsid w:val="00A17B7E"/>
    <w:rsid w:val="00A17F6B"/>
    <w:rsid w:val="00A2060E"/>
    <w:rsid w:val="00A20C5A"/>
    <w:rsid w:val="00A23B93"/>
    <w:rsid w:val="00A2408F"/>
    <w:rsid w:val="00A24968"/>
    <w:rsid w:val="00A2506B"/>
    <w:rsid w:val="00A25DA5"/>
    <w:rsid w:val="00A261B4"/>
    <w:rsid w:val="00A26E64"/>
    <w:rsid w:val="00A305B3"/>
    <w:rsid w:val="00A30640"/>
    <w:rsid w:val="00A30A35"/>
    <w:rsid w:val="00A311EA"/>
    <w:rsid w:val="00A31A34"/>
    <w:rsid w:val="00A323B3"/>
    <w:rsid w:val="00A32A75"/>
    <w:rsid w:val="00A32B44"/>
    <w:rsid w:val="00A33CA7"/>
    <w:rsid w:val="00A34115"/>
    <w:rsid w:val="00A351AE"/>
    <w:rsid w:val="00A3551C"/>
    <w:rsid w:val="00A4002A"/>
    <w:rsid w:val="00A40D25"/>
    <w:rsid w:val="00A41884"/>
    <w:rsid w:val="00A420E8"/>
    <w:rsid w:val="00A42963"/>
    <w:rsid w:val="00A43281"/>
    <w:rsid w:val="00A4477E"/>
    <w:rsid w:val="00A4500B"/>
    <w:rsid w:val="00A4563F"/>
    <w:rsid w:val="00A459FF"/>
    <w:rsid w:val="00A4662D"/>
    <w:rsid w:val="00A47125"/>
    <w:rsid w:val="00A5303E"/>
    <w:rsid w:val="00A531D3"/>
    <w:rsid w:val="00A53872"/>
    <w:rsid w:val="00A53AB8"/>
    <w:rsid w:val="00A54AEC"/>
    <w:rsid w:val="00A54EAD"/>
    <w:rsid w:val="00A55095"/>
    <w:rsid w:val="00A5669E"/>
    <w:rsid w:val="00A56A43"/>
    <w:rsid w:val="00A602B6"/>
    <w:rsid w:val="00A605A5"/>
    <w:rsid w:val="00A61728"/>
    <w:rsid w:val="00A63414"/>
    <w:rsid w:val="00A6350E"/>
    <w:rsid w:val="00A637D4"/>
    <w:rsid w:val="00A638E1"/>
    <w:rsid w:val="00A64203"/>
    <w:rsid w:val="00A65DC2"/>
    <w:rsid w:val="00A65F5F"/>
    <w:rsid w:val="00A66596"/>
    <w:rsid w:val="00A67F10"/>
    <w:rsid w:val="00A707C8"/>
    <w:rsid w:val="00A71A83"/>
    <w:rsid w:val="00A7437C"/>
    <w:rsid w:val="00A8053D"/>
    <w:rsid w:val="00A80E0D"/>
    <w:rsid w:val="00A81221"/>
    <w:rsid w:val="00A82443"/>
    <w:rsid w:val="00A82773"/>
    <w:rsid w:val="00A8340F"/>
    <w:rsid w:val="00A83EDC"/>
    <w:rsid w:val="00A840E6"/>
    <w:rsid w:val="00A85885"/>
    <w:rsid w:val="00A85DA0"/>
    <w:rsid w:val="00A871D2"/>
    <w:rsid w:val="00A87BFE"/>
    <w:rsid w:val="00A90048"/>
    <w:rsid w:val="00A905B6"/>
    <w:rsid w:val="00A920D8"/>
    <w:rsid w:val="00A95C7B"/>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3952"/>
    <w:rsid w:val="00AB3C18"/>
    <w:rsid w:val="00AB412E"/>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6837"/>
    <w:rsid w:val="00AD0118"/>
    <w:rsid w:val="00AD017A"/>
    <w:rsid w:val="00AD19ED"/>
    <w:rsid w:val="00AD2CA6"/>
    <w:rsid w:val="00AD3433"/>
    <w:rsid w:val="00AD3F5E"/>
    <w:rsid w:val="00AD60D7"/>
    <w:rsid w:val="00AD6B28"/>
    <w:rsid w:val="00AD73C8"/>
    <w:rsid w:val="00AD77CD"/>
    <w:rsid w:val="00AE007C"/>
    <w:rsid w:val="00AE0CFF"/>
    <w:rsid w:val="00AE10E1"/>
    <w:rsid w:val="00AE1136"/>
    <w:rsid w:val="00AE1FDC"/>
    <w:rsid w:val="00AE3FA6"/>
    <w:rsid w:val="00AE46A3"/>
    <w:rsid w:val="00AE4867"/>
    <w:rsid w:val="00AE619A"/>
    <w:rsid w:val="00AF0BDD"/>
    <w:rsid w:val="00AF17E1"/>
    <w:rsid w:val="00AF238A"/>
    <w:rsid w:val="00AF341B"/>
    <w:rsid w:val="00AF3639"/>
    <w:rsid w:val="00AF7B97"/>
    <w:rsid w:val="00B0021E"/>
    <w:rsid w:val="00B00F3D"/>
    <w:rsid w:val="00B0193A"/>
    <w:rsid w:val="00B01FAC"/>
    <w:rsid w:val="00B02535"/>
    <w:rsid w:val="00B03994"/>
    <w:rsid w:val="00B04260"/>
    <w:rsid w:val="00B05A07"/>
    <w:rsid w:val="00B05DCE"/>
    <w:rsid w:val="00B065AB"/>
    <w:rsid w:val="00B06924"/>
    <w:rsid w:val="00B06A21"/>
    <w:rsid w:val="00B06C0B"/>
    <w:rsid w:val="00B0716D"/>
    <w:rsid w:val="00B078A2"/>
    <w:rsid w:val="00B07D72"/>
    <w:rsid w:val="00B1007E"/>
    <w:rsid w:val="00B10247"/>
    <w:rsid w:val="00B117EB"/>
    <w:rsid w:val="00B11B28"/>
    <w:rsid w:val="00B11FF6"/>
    <w:rsid w:val="00B13804"/>
    <w:rsid w:val="00B1413A"/>
    <w:rsid w:val="00B15B2D"/>
    <w:rsid w:val="00B15BDD"/>
    <w:rsid w:val="00B15C36"/>
    <w:rsid w:val="00B15DE7"/>
    <w:rsid w:val="00B16E5C"/>
    <w:rsid w:val="00B17656"/>
    <w:rsid w:val="00B20C5F"/>
    <w:rsid w:val="00B21800"/>
    <w:rsid w:val="00B218E5"/>
    <w:rsid w:val="00B219F0"/>
    <w:rsid w:val="00B229E2"/>
    <w:rsid w:val="00B238D3"/>
    <w:rsid w:val="00B24B84"/>
    <w:rsid w:val="00B24BB5"/>
    <w:rsid w:val="00B254A3"/>
    <w:rsid w:val="00B26F93"/>
    <w:rsid w:val="00B275EC"/>
    <w:rsid w:val="00B27B9D"/>
    <w:rsid w:val="00B307CB"/>
    <w:rsid w:val="00B30CEA"/>
    <w:rsid w:val="00B31655"/>
    <w:rsid w:val="00B31D29"/>
    <w:rsid w:val="00B31F23"/>
    <w:rsid w:val="00B328B6"/>
    <w:rsid w:val="00B34006"/>
    <w:rsid w:val="00B345DC"/>
    <w:rsid w:val="00B34BA9"/>
    <w:rsid w:val="00B35C97"/>
    <w:rsid w:val="00B37F78"/>
    <w:rsid w:val="00B40538"/>
    <w:rsid w:val="00B41520"/>
    <w:rsid w:val="00B418BF"/>
    <w:rsid w:val="00B43991"/>
    <w:rsid w:val="00B43DB2"/>
    <w:rsid w:val="00B44A4C"/>
    <w:rsid w:val="00B47783"/>
    <w:rsid w:val="00B50B1D"/>
    <w:rsid w:val="00B53172"/>
    <w:rsid w:val="00B53199"/>
    <w:rsid w:val="00B54E09"/>
    <w:rsid w:val="00B55E44"/>
    <w:rsid w:val="00B562DA"/>
    <w:rsid w:val="00B571FD"/>
    <w:rsid w:val="00B605EA"/>
    <w:rsid w:val="00B60D36"/>
    <w:rsid w:val="00B62FB6"/>
    <w:rsid w:val="00B647B5"/>
    <w:rsid w:val="00B65815"/>
    <w:rsid w:val="00B65E66"/>
    <w:rsid w:val="00B67889"/>
    <w:rsid w:val="00B67D15"/>
    <w:rsid w:val="00B706C8"/>
    <w:rsid w:val="00B723D0"/>
    <w:rsid w:val="00B739C5"/>
    <w:rsid w:val="00B76BCF"/>
    <w:rsid w:val="00B76E58"/>
    <w:rsid w:val="00B80008"/>
    <w:rsid w:val="00B82609"/>
    <w:rsid w:val="00B830A8"/>
    <w:rsid w:val="00B83382"/>
    <w:rsid w:val="00B83C21"/>
    <w:rsid w:val="00B85BC7"/>
    <w:rsid w:val="00B903CF"/>
    <w:rsid w:val="00B90557"/>
    <w:rsid w:val="00B932CD"/>
    <w:rsid w:val="00B9332C"/>
    <w:rsid w:val="00B936FD"/>
    <w:rsid w:val="00B937D8"/>
    <w:rsid w:val="00B93C45"/>
    <w:rsid w:val="00B94BF2"/>
    <w:rsid w:val="00B94CBC"/>
    <w:rsid w:val="00B95ABE"/>
    <w:rsid w:val="00B95DE7"/>
    <w:rsid w:val="00B96105"/>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20B6"/>
    <w:rsid w:val="00BB4A62"/>
    <w:rsid w:val="00BB4C3B"/>
    <w:rsid w:val="00BB58AA"/>
    <w:rsid w:val="00BB5EC1"/>
    <w:rsid w:val="00BB64C9"/>
    <w:rsid w:val="00BB68A7"/>
    <w:rsid w:val="00BB70B1"/>
    <w:rsid w:val="00BB71A7"/>
    <w:rsid w:val="00BB750D"/>
    <w:rsid w:val="00BB7BD4"/>
    <w:rsid w:val="00BC1257"/>
    <w:rsid w:val="00BC1D08"/>
    <w:rsid w:val="00BC1F3E"/>
    <w:rsid w:val="00BC418A"/>
    <w:rsid w:val="00BC442B"/>
    <w:rsid w:val="00BC44C4"/>
    <w:rsid w:val="00BC4ACE"/>
    <w:rsid w:val="00BC4FC4"/>
    <w:rsid w:val="00BC59D3"/>
    <w:rsid w:val="00BC5C8C"/>
    <w:rsid w:val="00BC706D"/>
    <w:rsid w:val="00BD0DB6"/>
    <w:rsid w:val="00BD302A"/>
    <w:rsid w:val="00BD3C1C"/>
    <w:rsid w:val="00BD3EA9"/>
    <w:rsid w:val="00BD4290"/>
    <w:rsid w:val="00BD554F"/>
    <w:rsid w:val="00BD6562"/>
    <w:rsid w:val="00BD6BBE"/>
    <w:rsid w:val="00BD6C62"/>
    <w:rsid w:val="00BE1BAD"/>
    <w:rsid w:val="00BE2405"/>
    <w:rsid w:val="00BE2CA7"/>
    <w:rsid w:val="00BE2D3F"/>
    <w:rsid w:val="00BE61F2"/>
    <w:rsid w:val="00BF0850"/>
    <w:rsid w:val="00BF311F"/>
    <w:rsid w:val="00BF4340"/>
    <w:rsid w:val="00BF664E"/>
    <w:rsid w:val="00BF72B7"/>
    <w:rsid w:val="00BF75A2"/>
    <w:rsid w:val="00BF79B1"/>
    <w:rsid w:val="00BF7DB7"/>
    <w:rsid w:val="00C01522"/>
    <w:rsid w:val="00C0394C"/>
    <w:rsid w:val="00C03E0C"/>
    <w:rsid w:val="00C04945"/>
    <w:rsid w:val="00C05683"/>
    <w:rsid w:val="00C063E5"/>
    <w:rsid w:val="00C068B5"/>
    <w:rsid w:val="00C06DE2"/>
    <w:rsid w:val="00C07024"/>
    <w:rsid w:val="00C07381"/>
    <w:rsid w:val="00C07C60"/>
    <w:rsid w:val="00C119A2"/>
    <w:rsid w:val="00C123C8"/>
    <w:rsid w:val="00C1358F"/>
    <w:rsid w:val="00C13AA3"/>
    <w:rsid w:val="00C144F7"/>
    <w:rsid w:val="00C1506D"/>
    <w:rsid w:val="00C160B2"/>
    <w:rsid w:val="00C16C0D"/>
    <w:rsid w:val="00C17152"/>
    <w:rsid w:val="00C20A28"/>
    <w:rsid w:val="00C20F8B"/>
    <w:rsid w:val="00C212D3"/>
    <w:rsid w:val="00C219DA"/>
    <w:rsid w:val="00C22080"/>
    <w:rsid w:val="00C22CAA"/>
    <w:rsid w:val="00C242B3"/>
    <w:rsid w:val="00C24AEF"/>
    <w:rsid w:val="00C24C0F"/>
    <w:rsid w:val="00C253D5"/>
    <w:rsid w:val="00C25BCC"/>
    <w:rsid w:val="00C26454"/>
    <w:rsid w:val="00C2698D"/>
    <w:rsid w:val="00C276B1"/>
    <w:rsid w:val="00C3064C"/>
    <w:rsid w:val="00C313A9"/>
    <w:rsid w:val="00C3176C"/>
    <w:rsid w:val="00C31EDD"/>
    <w:rsid w:val="00C323DF"/>
    <w:rsid w:val="00C3255F"/>
    <w:rsid w:val="00C34257"/>
    <w:rsid w:val="00C35021"/>
    <w:rsid w:val="00C366FC"/>
    <w:rsid w:val="00C372FB"/>
    <w:rsid w:val="00C3738A"/>
    <w:rsid w:val="00C375C2"/>
    <w:rsid w:val="00C4007C"/>
    <w:rsid w:val="00C402E2"/>
    <w:rsid w:val="00C41A77"/>
    <w:rsid w:val="00C41AA8"/>
    <w:rsid w:val="00C41D39"/>
    <w:rsid w:val="00C4250B"/>
    <w:rsid w:val="00C42965"/>
    <w:rsid w:val="00C44927"/>
    <w:rsid w:val="00C453B4"/>
    <w:rsid w:val="00C4685F"/>
    <w:rsid w:val="00C47B84"/>
    <w:rsid w:val="00C47E0F"/>
    <w:rsid w:val="00C500F1"/>
    <w:rsid w:val="00C5109F"/>
    <w:rsid w:val="00C5141A"/>
    <w:rsid w:val="00C520D6"/>
    <w:rsid w:val="00C52774"/>
    <w:rsid w:val="00C538B8"/>
    <w:rsid w:val="00C549DB"/>
    <w:rsid w:val="00C57864"/>
    <w:rsid w:val="00C64BCB"/>
    <w:rsid w:val="00C64F44"/>
    <w:rsid w:val="00C65F0F"/>
    <w:rsid w:val="00C662C0"/>
    <w:rsid w:val="00C66573"/>
    <w:rsid w:val="00C6672A"/>
    <w:rsid w:val="00C67C3F"/>
    <w:rsid w:val="00C72903"/>
    <w:rsid w:val="00C734E4"/>
    <w:rsid w:val="00C73A89"/>
    <w:rsid w:val="00C74BAF"/>
    <w:rsid w:val="00C7540D"/>
    <w:rsid w:val="00C75F2A"/>
    <w:rsid w:val="00C764B8"/>
    <w:rsid w:val="00C7694C"/>
    <w:rsid w:val="00C77DC0"/>
    <w:rsid w:val="00C80FAC"/>
    <w:rsid w:val="00C8257E"/>
    <w:rsid w:val="00C825BE"/>
    <w:rsid w:val="00C82B84"/>
    <w:rsid w:val="00C83CF9"/>
    <w:rsid w:val="00C84BC9"/>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4342"/>
    <w:rsid w:val="00C94A9A"/>
    <w:rsid w:val="00C94B67"/>
    <w:rsid w:val="00C9566C"/>
    <w:rsid w:val="00C968B2"/>
    <w:rsid w:val="00C96A0E"/>
    <w:rsid w:val="00C96CC7"/>
    <w:rsid w:val="00CA27AE"/>
    <w:rsid w:val="00CA3018"/>
    <w:rsid w:val="00CA3F6F"/>
    <w:rsid w:val="00CA4B17"/>
    <w:rsid w:val="00CA560B"/>
    <w:rsid w:val="00CA5B5F"/>
    <w:rsid w:val="00CA7549"/>
    <w:rsid w:val="00CA7960"/>
    <w:rsid w:val="00CB2C32"/>
    <w:rsid w:val="00CB2EA8"/>
    <w:rsid w:val="00CB564D"/>
    <w:rsid w:val="00CB60AF"/>
    <w:rsid w:val="00CB6359"/>
    <w:rsid w:val="00CB6539"/>
    <w:rsid w:val="00CB6D76"/>
    <w:rsid w:val="00CB787F"/>
    <w:rsid w:val="00CC0245"/>
    <w:rsid w:val="00CC0E04"/>
    <w:rsid w:val="00CC10F7"/>
    <w:rsid w:val="00CC2136"/>
    <w:rsid w:val="00CC3038"/>
    <w:rsid w:val="00CC55FB"/>
    <w:rsid w:val="00CC6D8F"/>
    <w:rsid w:val="00CC770F"/>
    <w:rsid w:val="00CC77C2"/>
    <w:rsid w:val="00CC7DFB"/>
    <w:rsid w:val="00CD0BFA"/>
    <w:rsid w:val="00CD23A1"/>
    <w:rsid w:val="00CD2A74"/>
    <w:rsid w:val="00CD2DA9"/>
    <w:rsid w:val="00CD2F4C"/>
    <w:rsid w:val="00CD3897"/>
    <w:rsid w:val="00CD427F"/>
    <w:rsid w:val="00CD43E7"/>
    <w:rsid w:val="00CD4698"/>
    <w:rsid w:val="00CD48EF"/>
    <w:rsid w:val="00CD5073"/>
    <w:rsid w:val="00CD5558"/>
    <w:rsid w:val="00CD5F26"/>
    <w:rsid w:val="00CD6319"/>
    <w:rsid w:val="00CD71DB"/>
    <w:rsid w:val="00CE04AB"/>
    <w:rsid w:val="00CE1FF4"/>
    <w:rsid w:val="00CE4269"/>
    <w:rsid w:val="00CE53FC"/>
    <w:rsid w:val="00CE5648"/>
    <w:rsid w:val="00CE5C5E"/>
    <w:rsid w:val="00CE76CE"/>
    <w:rsid w:val="00CE7D72"/>
    <w:rsid w:val="00CF1375"/>
    <w:rsid w:val="00CF3A57"/>
    <w:rsid w:val="00CF4185"/>
    <w:rsid w:val="00CF5635"/>
    <w:rsid w:val="00CF5DFF"/>
    <w:rsid w:val="00CF6943"/>
    <w:rsid w:val="00CF71E6"/>
    <w:rsid w:val="00CF7B2B"/>
    <w:rsid w:val="00CF7D03"/>
    <w:rsid w:val="00D027C9"/>
    <w:rsid w:val="00D02D19"/>
    <w:rsid w:val="00D035BA"/>
    <w:rsid w:val="00D04597"/>
    <w:rsid w:val="00D060E5"/>
    <w:rsid w:val="00D06843"/>
    <w:rsid w:val="00D068B8"/>
    <w:rsid w:val="00D06A5F"/>
    <w:rsid w:val="00D07D2C"/>
    <w:rsid w:val="00D104D4"/>
    <w:rsid w:val="00D11C3E"/>
    <w:rsid w:val="00D11F86"/>
    <w:rsid w:val="00D127E4"/>
    <w:rsid w:val="00D1369D"/>
    <w:rsid w:val="00D13ECA"/>
    <w:rsid w:val="00D157A7"/>
    <w:rsid w:val="00D15D89"/>
    <w:rsid w:val="00D16FDE"/>
    <w:rsid w:val="00D1774F"/>
    <w:rsid w:val="00D2028D"/>
    <w:rsid w:val="00D21257"/>
    <w:rsid w:val="00D21F02"/>
    <w:rsid w:val="00D21F04"/>
    <w:rsid w:val="00D2206A"/>
    <w:rsid w:val="00D2319B"/>
    <w:rsid w:val="00D24902"/>
    <w:rsid w:val="00D24DC9"/>
    <w:rsid w:val="00D274AB"/>
    <w:rsid w:val="00D27ADC"/>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FE0"/>
    <w:rsid w:val="00D5037D"/>
    <w:rsid w:val="00D503C2"/>
    <w:rsid w:val="00D509C7"/>
    <w:rsid w:val="00D5105E"/>
    <w:rsid w:val="00D5277C"/>
    <w:rsid w:val="00D537FB"/>
    <w:rsid w:val="00D54A29"/>
    <w:rsid w:val="00D5505F"/>
    <w:rsid w:val="00D5595F"/>
    <w:rsid w:val="00D56227"/>
    <w:rsid w:val="00D56397"/>
    <w:rsid w:val="00D571BB"/>
    <w:rsid w:val="00D574E2"/>
    <w:rsid w:val="00D61BD4"/>
    <w:rsid w:val="00D6319D"/>
    <w:rsid w:val="00D63F37"/>
    <w:rsid w:val="00D6400A"/>
    <w:rsid w:val="00D64BAB"/>
    <w:rsid w:val="00D64CC7"/>
    <w:rsid w:val="00D667C9"/>
    <w:rsid w:val="00D66E04"/>
    <w:rsid w:val="00D670E8"/>
    <w:rsid w:val="00D67582"/>
    <w:rsid w:val="00D67911"/>
    <w:rsid w:val="00D71484"/>
    <w:rsid w:val="00D71F94"/>
    <w:rsid w:val="00D72A53"/>
    <w:rsid w:val="00D745F2"/>
    <w:rsid w:val="00D74F1F"/>
    <w:rsid w:val="00D754DB"/>
    <w:rsid w:val="00D760A5"/>
    <w:rsid w:val="00D76B60"/>
    <w:rsid w:val="00D76F94"/>
    <w:rsid w:val="00D812D6"/>
    <w:rsid w:val="00D82707"/>
    <w:rsid w:val="00D82855"/>
    <w:rsid w:val="00D8350B"/>
    <w:rsid w:val="00D843A8"/>
    <w:rsid w:val="00D8589C"/>
    <w:rsid w:val="00D8725E"/>
    <w:rsid w:val="00D87745"/>
    <w:rsid w:val="00D9086D"/>
    <w:rsid w:val="00D90BE6"/>
    <w:rsid w:val="00D91A59"/>
    <w:rsid w:val="00D93079"/>
    <w:rsid w:val="00D94996"/>
    <w:rsid w:val="00D94D1C"/>
    <w:rsid w:val="00D94E2D"/>
    <w:rsid w:val="00D9526A"/>
    <w:rsid w:val="00D95286"/>
    <w:rsid w:val="00D96108"/>
    <w:rsid w:val="00D97250"/>
    <w:rsid w:val="00DA1B75"/>
    <w:rsid w:val="00DA2768"/>
    <w:rsid w:val="00DA339E"/>
    <w:rsid w:val="00DA35E9"/>
    <w:rsid w:val="00DA7089"/>
    <w:rsid w:val="00DB2B75"/>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887"/>
    <w:rsid w:val="00DD4293"/>
    <w:rsid w:val="00DD731B"/>
    <w:rsid w:val="00DD77D5"/>
    <w:rsid w:val="00DD78E3"/>
    <w:rsid w:val="00DE14C8"/>
    <w:rsid w:val="00DE24A5"/>
    <w:rsid w:val="00DE27BF"/>
    <w:rsid w:val="00DE3FD6"/>
    <w:rsid w:val="00DE468B"/>
    <w:rsid w:val="00DE4B96"/>
    <w:rsid w:val="00DE58E3"/>
    <w:rsid w:val="00DE5E07"/>
    <w:rsid w:val="00DE5E11"/>
    <w:rsid w:val="00DE7280"/>
    <w:rsid w:val="00DF0152"/>
    <w:rsid w:val="00DF0750"/>
    <w:rsid w:val="00DF09F3"/>
    <w:rsid w:val="00DF0D99"/>
    <w:rsid w:val="00DF1090"/>
    <w:rsid w:val="00DF1980"/>
    <w:rsid w:val="00DF1F1D"/>
    <w:rsid w:val="00DF250A"/>
    <w:rsid w:val="00DF27AB"/>
    <w:rsid w:val="00DF27BD"/>
    <w:rsid w:val="00DF2BA6"/>
    <w:rsid w:val="00DF2CC7"/>
    <w:rsid w:val="00DF2E24"/>
    <w:rsid w:val="00DF2F2F"/>
    <w:rsid w:val="00DF3673"/>
    <w:rsid w:val="00DF4200"/>
    <w:rsid w:val="00DF54F5"/>
    <w:rsid w:val="00DF61B0"/>
    <w:rsid w:val="00DF760C"/>
    <w:rsid w:val="00E0049A"/>
    <w:rsid w:val="00E008AF"/>
    <w:rsid w:val="00E014FA"/>
    <w:rsid w:val="00E019E2"/>
    <w:rsid w:val="00E0298C"/>
    <w:rsid w:val="00E02F7D"/>
    <w:rsid w:val="00E060AD"/>
    <w:rsid w:val="00E0736D"/>
    <w:rsid w:val="00E10233"/>
    <w:rsid w:val="00E105BA"/>
    <w:rsid w:val="00E1121F"/>
    <w:rsid w:val="00E11D8F"/>
    <w:rsid w:val="00E12D5A"/>
    <w:rsid w:val="00E13FE9"/>
    <w:rsid w:val="00E16346"/>
    <w:rsid w:val="00E16565"/>
    <w:rsid w:val="00E1707A"/>
    <w:rsid w:val="00E17803"/>
    <w:rsid w:val="00E17A9F"/>
    <w:rsid w:val="00E22B31"/>
    <w:rsid w:val="00E235EF"/>
    <w:rsid w:val="00E23D51"/>
    <w:rsid w:val="00E243F1"/>
    <w:rsid w:val="00E245FF"/>
    <w:rsid w:val="00E24CD9"/>
    <w:rsid w:val="00E265CB"/>
    <w:rsid w:val="00E26EA9"/>
    <w:rsid w:val="00E30D57"/>
    <w:rsid w:val="00E3156C"/>
    <w:rsid w:val="00E3224D"/>
    <w:rsid w:val="00E329B5"/>
    <w:rsid w:val="00E32EA3"/>
    <w:rsid w:val="00E34893"/>
    <w:rsid w:val="00E3643B"/>
    <w:rsid w:val="00E37E28"/>
    <w:rsid w:val="00E415D4"/>
    <w:rsid w:val="00E41903"/>
    <w:rsid w:val="00E42517"/>
    <w:rsid w:val="00E42747"/>
    <w:rsid w:val="00E427BD"/>
    <w:rsid w:val="00E42AFF"/>
    <w:rsid w:val="00E42B46"/>
    <w:rsid w:val="00E43273"/>
    <w:rsid w:val="00E4353B"/>
    <w:rsid w:val="00E44522"/>
    <w:rsid w:val="00E446F6"/>
    <w:rsid w:val="00E44C4B"/>
    <w:rsid w:val="00E45FE3"/>
    <w:rsid w:val="00E46115"/>
    <w:rsid w:val="00E46D29"/>
    <w:rsid w:val="00E47221"/>
    <w:rsid w:val="00E47E5D"/>
    <w:rsid w:val="00E50F53"/>
    <w:rsid w:val="00E51702"/>
    <w:rsid w:val="00E527EA"/>
    <w:rsid w:val="00E529C7"/>
    <w:rsid w:val="00E52CA6"/>
    <w:rsid w:val="00E535C6"/>
    <w:rsid w:val="00E53694"/>
    <w:rsid w:val="00E536B2"/>
    <w:rsid w:val="00E53FC4"/>
    <w:rsid w:val="00E55A6A"/>
    <w:rsid w:val="00E563E0"/>
    <w:rsid w:val="00E576BB"/>
    <w:rsid w:val="00E57E5D"/>
    <w:rsid w:val="00E617AF"/>
    <w:rsid w:val="00E61C81"/>
    <w:rsid w:val="00E62B24"/>
    <w:rsid w:val="00E63B6A"/>
    <w:rsid w:val="00E63E95"/>
    <w:rsid w:val="00E663A3"/>
    <w:rsid w:val="00E668EB"/>
    <w:rsid w:val="00E67399"/>
    <w:rsid w:val="00E706C3"/>
    <w:rsid w:val="00E71A3A"/>
    <w:rsid w:val="00E727AE"/>
    <w:rsid w:val="00E7341C"/>
    <w:rsid w:val="00E73A1D"/>
    <w:rsid w:val="00E74795"/>
    <w:rsid w:val="00E75734"/>
    <w:rsid w:val="00E75C56"/>
    <w:rsid w:val="00E76167"/>
    <w:rsid w:val="00E76AB0"/>
    <w:rsid w:val="00E7744B"/>
    <w:rsid w:val="00E77B25"/>
    <w:rsid w:val="00E80550"/>
    <w:rsid w:val="00E818F2"/>
    <w:rsid w:val="00E823D1"/>
    <w:rsid w:val="00E827D3"/>
    <w:rsid w:val="00E83679"/>
    <w:rsid w:val="00E8377F"/>
    <w:rsid w:val="00E85043"/>
    <w:rsid w:val="00E85122"/>
    <w:rsid w:val="00E85911"/>
    <w:rsid w:val="00E8647A"/>
    <w:rsid w:val="00E86B1C"/>
    <w:rsid w:val="00E906FA"/>
    <w:rsid w:val="00E90717"/>
    <w:rsid w:val="00E955C3"/>
    <w:rsid w:val="00E965C4"/>
    <w:rsid w:val="00E966BC"/>
    <w:rsid w:val="00E96928"/>
    <w:rsid w:val="00E97381"/>
    <w:rsid w:val="00E97FE3"/>
    <w:rsid w:val="00EA0483"/>
    <w:rsid w:val="00EA05B8"/>
    <w:rsid w:val="00EA0FE2"/>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890"/>
    <w:rsid w:val="00EC046B"/>
    <w:rsid w:val="00EC1997"/>
    <w:rsid w:val="00EC4079"/>
    <w:rsid w:val="00EC52E7"/>
    <w:rsid w:val="00EC59E2"/>
    <w:rsid w:val="00EC69DE"/>
    <w:rsid w:val="00ED09BF"/>
    <w:rsid w:val="00ED15BB"/>
    <w:rsid w:val="00ED1975"/>
    <w:rsid w:val="00ED2485"/>
    <w:rsid w:val="00ED3D3E"/>
    <w:rsid w:val="00ED4EBE"/>
    <w:rsid w:val="00ED6B2C"/>
    <w:rsid w:val="00ED6C0E"/>
    <w:rsid w:val="00ED6E96"/>
    <w:rsid w:val="00EE03A0"/>
    <w:rsid w:val="00EE135C"/>
    <w:rsid w:val="00EE1EE9"/>
    <w:rsid w:val="00EE23E9"/>
    <w:rsid w:val="00EE3934"/>
    <w:rsid w:val="00EE3B65"/>
    <w:rsid w:val="00EE3CF1"/>
    <w:rsid w:val="00EE4E23"/>
    <w:rsid w:val="00EE5C76"/>
    <w:rsid w:val="00EF09A9"/>
    <w:rsid w:val="00EF2BD0"/>
    <w:rsid w:val="00EF479A"/>
    <w:rsid w:val="00EF5748"/>
    <w:rsid w:val="00EF6E26"/>
    <w:rsid w:val="00F01C2D"/>
    <w:rsid w:val="00F0247F"/>
    <w:rsid w:val="00F04CF5"/>
    <w:rsid w:val="00F06F27"/>
    <w:rsid w:val="00F06FE4"/>
    <w:rsid w:val="00F10299"/>
    <w:rsid w:val="00F11277"/>
    <w:rsid w:val="00F11696"/>
    <w:rsid w:val="00F11B56"/>
    <w:rsid w:val="00F131A5"/>
    <w:rsid w:val="00F13DE0"/>
    <w:rsid w:val="00F1433A"/>
    <w:rsid w:val="00F150F3"/>
    <w:rsid w:val="00F16886"/>
    <w:rsid w:val="00F21C60"/>
    <w:rsid w:val="00F237AD"/>
    <w:rsid w:val="00F23B39"/>
    <w:rsid w:val="00F259D5"/>
    <w:rsid w:val="00F25CAB"/>
    <w:rsid w:val="00F26E0E"/>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4C3F"/>
    <w:rsid w:val="00F44FD3"/>
    <w:rsid w:val="00F478E5"/>
    <w:rsid w:val="00F51616"/>
    <w:rsid w:val="00F52299"/>
    <w:rsid w:val="00F53F94"/>
    <w:rsid w:val="00F57376"/>
    <w:rsid w:val="00F57CCD"/>
    <w:rsid w:val="00F6275F"/>
    <w:rsid w:val="00F63074"/>
    <w:rsid w:val="00F6385E"/>
    <w:rsid w:val="00F63FCA"/>
    <w:rsid w:val="00F64C78"/>
    <w:rsid w:val="00F67419"/>
    <w:rsid w:val="00F701DC"/>
    <w:rsid w:val="00F70957"/>
    <w:rsid w:val="00F71CE5"/>
    <w:rsid w:val="00F73630"/>
    <w:rsid w:val="00F736A0"/>
    <w:rsid w:val="00F750B2"/>
    <w:rsid w:val="00F75588"/>
    <w:rsid w:val="00F758D1"/>
    <w:rsid w:val="00F76150"/>
    <w:rsid w:val="00F766A5"/>
    <w:rsid w:val="00F7793A"/>
    <w:rsid w:val="00F77BCE"/>
    <w:rsid w:val="00F800D4"/>
    <w:rsid w:val="00F8513F"/>
    <w:rsid w:val="00F85301"/>
    <w:rsid w:val="00F855ED"/>
    <w:rsid w:val="00F85A7D"/>
    <w:rsid w:val="00F869FA"/>
    <w:rsid w:val="00F8707F"/>
    <w:rsid w:val="00F872A9"/>
    <w:rsid w:val="00F87A5B"/>
    <w:rsid w:val="00F87A83"/>
    <w:rsid w:val="00F910D1"/>
    <w:rsid w:val="00F93945"/>
    <w:rsid w:val="00F93D84"/>
    <w:rsid w:val="00F95EF4"/>
    <w:rsid w:val="00F965AB"/>
    <w:rsid w:val="00FA005A"/>
    <w:rsid w:val="00FA0A33"/>
    <w:rsid w:val="00FA11DD"/>
    <w:rsid w:val="00FA15F9"/>
    <w:rsid w:val="00FA16A5"/>
    <w:rsid w:val="00FA242F"/>
    <w:rsid w:val="00FA28B9"/>
    <w:rsid w:val="00FA3470"/>
    <w:rsid w:val="00FA533D"/>
    <w:rsid w:val="00FA67EE"/>
    <w:rsid w:val="00FB1450"/>
    <w:rsid w:val="00FB1B00"/>
    <w:rsid w:val="00FB1EB5"/>
    <w:rsid w:val="00FB2CC8"/>
    <w:rsid w:val="00FB387B"/>
    <w:rsid w:val="00FB3F52"/>
    <w:rsid w:val="00FB587B"/>
    <w:rsid w:val="00FB6A85"/>
    <w:rsid w:val="00FB6E04"/>
    <w:rsid w:val="00FB6E40"/>
    <w:rsid w:val="00FB7645"/>
    <w:rsid w:val="00FC1630"/>
    <w:rsid w:val="00FC1C96"/>
    <w:rsid w:val="00FC34B4"/>
    <w:rsid w:val="00FC4FFA"/>
    <w:rsid w:val="00FC78B7"/>
    <w:rsid w:val="00FD013A"/>
    <w:rsid w:val="00FD0C12"/>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49A2"/>
    <w:rsid w:val="00FE53A6"/>
    <w:rsid w:val="00FE69F3"/>
    <w:rsid w:val="00FE6C1C"/>
    <w:rsid w:val="00FF1475"/>
    <w:rsid w:val="00FF14E4"/>
    <w:rsid w:val="00FF28F8"/>
    <w:rsid w:val="00FF4353"/>
    <w:rsid w:val="00FF4AE5"/>
    <w:rsid w:val="00FF4C1F"/>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www.sec.gov/Archives/edgar/data/832489/000143774920001117/ex_170314.htm"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sec.gov/Archives/edgar/data/832489/000143774920006029/ex_178175.htm"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c.gov/Archives/edgar/data/832489/000143774920001117/ex_170313.htm" TargetMode="Externa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0000912/ex_169968.htm" TargetMode="Externa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0000912/ex_169967.htm" TargetMode="External"/><Relationship Id="rId27" Type="http://schemas.openxmlformats.org/officeDocument/2006/relationships/hyperlink" Target="https://www.sec.gov/Archives/edgar/data/832489/000143774920008037/ex_181862.htm" TargetMode="Externa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8446</Words>
  <Characters>48899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57231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5</cp:revision>
  <cp:lastPrinted>2020-05-01T19:43:00Z</cp:lastPrinted>
  <dcterms:created xsi:type="dcterms:W3CDTF">2020-05-01T19:33:00Z</dcterms:created>
  <dcterms:modified xsi:type="dcterms:W3CDTF">2020-05-03T14:35:00Z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